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37" w:type="dxa"/>
        <w:tblInd w:w="108" w:type="dxa"/>
        <w:tblBorders>
          <w:top w:val="single" w:sz="4" w:space="0" w:color="auto"/>
          <w:left w:val="single" w:sz="4" w:space="0" w:color="auto"/>
          <w:bottom w:val="single" w:sz="4" w:space="0" w:color="auto"/>
          <w:right w:val="single" w:sz="4" w:space="0" w:color="auto"/>
        </w:tblBorders>
        <w:shd w:val="clear" w:color="auto" w:fill="99FFCC"/>
        <w:tblLayout w:type="fixed"/>
        <w:tblLook w:val="0000" w:firstRow="0" w:lastRow="0" w:firstColumn="0" w:lastColumn="0" w:noHBand="0" w:noVBand="0"/>
      </w:tblPr>
      <w:tblGrid>
        <w:gridCol w:w="2835"/>
        <w:gridCol w:w="6702"/>
      </w:tblGrid>
      <w:tr w:rsidR="005F4AA9" w:rsidRPr="00755D0C" w:rsidTr="00AA3878">
        <w:trPr>
          <w:trHeight w:val="263"/>
        </w:trPr>
        <w:tc>
          <w:tcPr>
            <w:tcW w:w="2835" w:type="dxa"/>
            <w:shd w:val="clear" w:color="auto" w:fill="008000"/>
            <w:vAlign w:val="center"/>
          </w:tcPr>
          <w:p w:rsidR="005F4AA9" w:rsidRPr="00755D0C" w:rsidRDefault="005F4AA9" w:rsidP="00270E42">
            <w:pPr>
              <w:jc w:val="right"/>
            </w:pPr>
            <w:bookmarkStart w:id="0" w:name="_GoBack"/>
            <w:bookmarkEnd w:id="0"/>
            <w:r w:rsidRPr="00755D0C">
              <w:t>Pasūtītājs</w:t>
            </w:r>
          </w:p>
        </w:tc>
        <w:tc>
          <w:tcPr>
            <w:tcW w:w="6702" w:type="dxa"/>
            <w:vAlign w:val="center"/>
          </w:tcPr>
          <w:p w:rsidR="005F4AA9" w:rsidRPr="00755D0C" w:rsidRDefault="005F4AA9" w:rsidP="00AA3878">
            <w:pPr>
              <w:pStyle w:val="Header"/>
              <w:tabs>
                <w:tab w:val="clear" w:pos="4153"/>
                <w:tab w:val="clear" w:pos="8306"/>
              </w:tabs>
              <w:spacing w:before="240"/>
              <w:jc w:val="center"/>
              <w:rPr>
                <w:rFonts w:ascii="Arial" w:hAnsi="Arial" w:cs="Arial"/>
                <w:b/>
                <w:bCs/>
                <w:color w:val="000000"/>
              </w:rPr>
            </w:pPr>
            <w:r w:rsidRPr="00755D0C">
              <w:rPr>
                <w:rFonts w:ascii="Arial" w:hAnsi="Arial" w:cs="Arial"/>
                <w:b/>
                <w:bCs/>
                <w:color w:val="000000"/>
              </w:rPr>
              <w:t>Vides aizsardzības un reģionālās attīstības ministrija</w:t>
            </w:r>
          </w:p>
        </w:tc>
      </w:tr>
      <w:tr w:rsidR="005F4AA9" w:rsidRPr="00755D0C" w:rsidTr="00AA3878">
        <w:trPr>
          <w:trHeight w:val="284"/>
        </w:trPr>
        <w:tc>
          <w:tcPr>
            <w:tcW w:w="2835" w:type="dxa"/>
            <w:shd w:val="clear" w:color="auto" w:fill="008000"/>
            <w:vAlign w:val="center"/>
          </w:tcPr>
          <w:p w:rsidR="005F4AA9" w:rsidRPr="00755D0C" w:rsidRDefault="005F4AA9" w:rsidP="00AA3878">
            <w:pPr>
              <w:spacing w:before="100" w:beforeAutospacing="1" w:after="100" w:afterAutospacing="1"/>
              <w:jc w:val="right"/>
              <w:rPr>
                <w:rFonts w:ascii="Arial" w:hAnsi="Arial" w:cs="Arial"/>
                <w:b/>
                <w:bCs/>
                <w:color w:val="000000"/>
                <w:sz w:val="20"/>
                <w:szCs w:val="20"/>
              </w:rPr>
            </w:pPr>
            <w:r w:rsidRPr="00755D0C">
              <w:rPr>
                <w:rFonts w:ascii="Arial" w:hAnsi="Arial" w:cs="Arial"/>
                <w:b/>
                <w:bCs/>
                <w:color w:val="000000"/>
                <w:sz w:val="20"/>
                <w:szCs w:val="20"/>
              </w:rPr>
              <w:t>Reģistrācijas Nr.</w:t>
            </w:r>
          </w:p>
        </w:tc>
        <w:tc>
          <w:tcPr>
            <w:tcW w:w="6702" w:type="dxa"/>
            <w:vAlign w:val="center"/>
          </w:tcPr>
          <w:p w:rsidR="005F4AA9" w:rsidRPr="00755D0C" w:rsidRDefault="005F4AA9" w:rsidP="00AA3878">
            <w:pPr>
              <w:jc w:val="center"/>
              <w:rPr>
                <w:rFonts w:ascii="Arial" w:hAnsi="Arial" w:cs="Arial"/>
                <w:b/>
                <w:bCs/>
                <w:color w:val="000000"/>
                <w:sz w:val="20"/>
                <w:szCs w:val="20"/>
              </w:rPr>
            </w:pPr>
            <w:r w:rsidRPr="00755D0C">
              <w:rPr>
                <w:rFonts w:ascii="Arial" w:hAnsi="Arial" w:cs="Arial"/>
                <w:b/>
                <w:bCs/>
                <w:color w:val="000000"/>
                <w:sz w:val="20"/>
                <w:szCs w:val="20"/>
              </w:rPr>
              <w:t>90000028508</w:t>
            </w:r>
          </w:p>
        </w:tc>
      </w:tr>
      <w:tr w:rsidR="005F4AA9" w:rsidRPr="00755D0C" w:rsidTr="00AA3878">
        <w:trPr>
          <w:trHeight w:val="284"/>
        </w:trPr>
        <w:tc>
          <w:tcPr>
            <w:tcW w:w="2835" w:type="dxa"/>
            <w:shd w:val="clear" w:color="auto" w:fill="008000"/>
            <w:vAlign w:val="center"/>
          </w:tcPr>
          <w:p w:rsidR="005F4AA9" w:rsidRPr="00755D0C" w:rsidRDefault="005F4AA9" w:rsidP="00AA3878">
            <w:pPr>
              <w:spacing w:before="100" w:beforeAutospacing="1" w:after="100" w:afterAutospacing="1"/>
              <w:jc w:val="right"/>
              <w:rPr>
                <w:rFonts w:ascii="Arial" w:hAnsi="Arial" w:cs="Arial"/>
                <w:b/>
                <w:bCs/>
                <w:color w:val="000000"/>
                <w:sz w:val="20"/>
                <w:szCs w:val="20"/>
              </w:rPr>
            </w:pPr>
            <w:r w:rsidRPr="00755D0C">
              <w:rPr>
                <w:rFonts w:ascii="Arial" w:hAnsi="Arial" w:cs="Arial"/>
                <w:b/>
                <w:bCs/>
                <w:color w:val="000000"/>
                <w:sz w:val="20"/>
                <w:szCs w:val="20"/>
              </w:rPr>
              <w:t>Adrese</w:t>
            </w:r>
          </w:p>
        </w:tc>
        <w:tc>
          <w:tcPr>
            <w:tcW w:w="6702" w:type="dxa"/>
            <w:vAlign w:val="center"/>
          </w:tcPr>
          <w:p w:rsidR="005F4AA9" w:rsidRPr="00755D0C" w:rsidRDefault="005F4AA9" w:rsidP="00AA3878">
            <w:pPr>
              <w:jc w:val="center"/>
              <w:rPr>
                <w:rFonts w:ascii="Arial" w:hAnsi="Arial" w:cs="Arial"/>
                <w:b/>
                <w:bCs/>
                <w:color w:val="000000"/>
                <w:sz w:val="20"/>
                <w:szCs w:val="20"/>
              </w:rPr>
            </w:pPr>
            <w:r w:rsidRPr="00755D0C">
              <w:rPr>
                <w:rFonts w:ascii="Arial" w:hAnsi="Arial" w:cs="Arial"/>
                <w:b/>
                <w:bCs/>
                <w:color w:val="000000"/>
                <w:sz w:val="20"/>
                <w:szCs w:val="20"/>
              </w:rPr>
              <w:t>Peldu iela 25, Rīga, LV-1494</w:t>
            </w:r>
          </w:p>
        </w:tc>
      </w:tr>
      <w:tr w:rsidR="005F4AA9" w:rsidRPr="00755D0C" w:rsidTr="00AA3878">
        <w:trPr>
          <w:trHeight w:val="336"/>
        </w:trPr>
        <w:tc>
          <w:tcPr>
            <w:tcW w:w="2835" w:type="dxa"/>
            <w:shd w:val="clear" w:color="auto" w:fill="008000"/>
            <w:vAlign w:val="center"/>
          </w:tcPr>
          <w:p w:rsidR="005F4AA9" w:rsidRPr="00755D0C" w:rsidRDefault="005F4AA9" w:rsidP="00AA3878">
            <w:pPr>
              <w:spacing w:before="100" w:beforeAutospacing="1" w:after="100" w:afterAutospacing="1"/>
              <w:jc w:val="right"/>
              <w:rPr>
                <w:rFonts w:ascii="Arial" w:hAnsi="Arial" w:cs="Arial"/>
                <w:b/>
                <w:bCs/>
                <w:color w:val="FF0000"/>
                <w:sz w:val="20"/>
                <w:szCs w:val="20"/>
              </w:rPr>
            </w:pPr>
          </w:p>
        </w:tc>
        <w:tc>
          <w:tcPr>
            <w:tcW w:w="6702" w:type="dxa"/>
            <w:vAlign w:val="center"/>
          </w:tcPr>
          <w:p w:rsidR="005F4AA9" w:rsidRPr="00755D0C" w:rsidRDefault="005F4AA9" w:rsidP="00AA3878">
            <w:pPr>
              <w:pStyle w:val="Header"/>
              <w:tabs>
                <w:tab w:val="clear" w:pos="4153"/>
                <w:tab w:val="clear" w:pos="8306"/>
              </w:tabs>
              <w:spacing w:before="240"/>
              <w:jc w:val="center"/>
              <w:rPr>
                <w:rFonts w:ascii="Arial" w:hAnsi="Arial" w:cs="Arial"/>
                <w:b/>
                <w:bCs/>
                <w:color w:val="FF0000"/>
              </w:rPr>
            </w:pPr>
          </w:p>
        </w:tc>
      </w:tr>
      <w:tr w:rsidR="005F4AA9" w:rsidRPr="00755D0C" w:rsidTr="00AA3878">
        <w:trPr>
          <w:trHeight w:val="336"/>
        </w:trPr>
        <w:tc>
          <w:tcPr>
            <w:tcW w:w="2835" w:type="dxa"/>
            <w:shd w:val="clear" w:color="auto" w:fill="008000"/>
            <w:vAlign w:val="center"/>
          </w:tcPr>
          <w:p w:rsidR="005F4AA9" w:rsidRPr="00755D0C" w:rsidRDefault="005F4AA9" w:rsidP="00AA3878">
            <w:pPr>
              <w:spacing w:before="100" w:beforeAutospacing="1" w:after="100" w:afterAutospacing="1"/>
              <w:jc w:val="right"/>
              <w:rPr>
                <w:rFonts w:ascii="Arial" w:hAnsi="Arial" w:cs="Arial"/>
                <w:b/>
                <w:bCs/>
                <w:color w:val="000000"/>
                <w:sz w:val="20"/>
                <w:szCs w:val="20"/>
              </w:rPr>
            </w:pPr>
          </w:p>
        </w:tc>
        <w:tc>
          <w:tcPr>
            <w:tcW w:w="6702" w:type="dxa"/>
            <w:vAlign w:val="center"/>
          </w:tcPr>
          <w:p w:rsidR="005F4AA9" w:rsidRPr="00755D0C" w:rsidRDefault="005F4AA9" w:rsidP="00AA3878">
            <w:pPr>
              <w:pStyle w:val="Header"/>
              <w:tabs>
                <w:tab w:val="clear" w:pos="4153"/>
                <w:tab w:val="clear" w:pos="8306"/>
              </w:tabs>
              <w:spacing w:before="240"/>
              <w:jc w:val="center"/>
              <w:rPr>
                <w:rFonts w:ascii="Arial" w:hAnsi="Arial" w:cs="Arial"/>
                <w:b/>
                <w:bCs/>
                <w:color w:val="000000"/>
              </w:rPr>
            </w:pPr>
          </w:p>
        </w:tc>
      </w:tr>
      <w:tr w:rsidR="005F4AA9" w:rsidRPr="00755D0C" w:rsidTr="00AA3878">
        <w:trPr>
          <w:trHeight w:val="303"/>
        </w:trPr>
        <w:tc>
          <w:tcPr>
            <w:tcW w:w="2835" w:type="dxa"/>
            <w:shd w:val="clear" w:color="auto" w:fill="008000"/>
            <w:vAlign w:val="center"/>
          </w:tcPr>
          <w:p w:rsidR="005F4AA9" w:rsidRPr="00755D0C" w:rsidRDefault="005F4AA9" w:rsidP="00AA3878">
            <w:pPr>
              <w:spacing w:before="100" w:beforeAutospacing="1" w:after="100" w:afterAutospacing="1"/>
              <w:jc w:val="right"/>
              <w:rPr>
                <w:rFonts w:ascii="Arial" w:hAnsi="Arial" w:cs="Arial"/>
                <w:b/>
                <w:bCs/>
                <w:color w:val="000000"/>
                <w:sz w:val="20"/>
                <w:szCs w:val="20"/>
              </w:rPr>
            </w:pPr>
            <w:r w:rsidRPr="00755D0C">
              <w:rPr>
                <w:rFonts w:ascii="Arial" w:hAnsi="Arial" w:cs="Arial"/>
                <w:b/>
                <w:bCs/>
                <w:color w:val="000000"/>
                <w:sz w:val="20"/>
                <w:szCs w:val="20"/>
              </w:rPr>
              <w:t>Projektētājs</w:t>
            </w:r>
          </w:p>
        </w:tc>
        <w:tc>
          <w:tcPr>
            <w:tcW w:w="6702" w:type="dxa"/>
            <w:vAlign w:val="center"/>
          </w:tcPr>
          <w:p w:rsidR="005F4AA9" w:rsidRPr="00755D0C" w:rsidRDefault="005F4AA9" w:rsidP="00AA3878">
            <w:pPr>
              <w:jc w:val="center"/>
              <w:rPr>
                <w:rFonts w:ascii="Arial" w:hAnsi="Arial" w:cs="Arial"/>
                <w:b/>
                <w:bCs/>
                <w:color w:val="000000"/>
              </w:rPr>
            </w:pPr>
            <w:r w:rsidRPr="00755D0C">
              <w:rPr>
                <w:rFonts w:ascii="Arial" w:hAnsi="Arial" w:cs="Arial"/>
                <w:b/>
                <w:bCs/>
                <w:color w:val="000000"/>
              </w:rPr>
              <w:t>SIA „LAKALME”</w:t>
            </w:r>
          </w:p>
        </w:tc>
      </w:tr>
      <w:tr w:rsidR="005F4AA9" w:rsidRPr="00755D0C" w:rsidTr="00AA3878">
        <w:trPr>
          <w:trHeight w:val="303"/>
        </w:trPr>
        <w:tc>
          <w:tcPr>
            <w:tcW w:w="2835" w:type="dxa"/>
            <w:shd w:val="clear" w:color="auto" w:fill="008000"/>
            <w:vAlign w:val="center"/>
          </w:tcPr>
          <w:p w:rsidR="005F4AA9" w:rsidRPr="00755D0C" w:rsidRDefault="005F4AA9" w:rsidP="00AA3878">
            <w:pPr>
              <w:spacing w:before="100" w:beforeAutospacing="1" w:after="100" w:afterAutospacing="1"/>
              <w:jc w:val="right"/>
              <w:rPr>
                <w:rFonts w:ascii="Arial" w:hAnsi="Arial" w:cs="Arial"/>
                <w:b/>
                <w:bCs/>
                <w:color w:val="000000"/>
                <w:sz w:val="20"/>
                <w:szCs w:val="20"/>
              </w:rPr>
            </w:pPr>
            <w:r w:rsidRPr="00755D0C">
              <w:rPr>
                <w:rFonts w:ascii="Arial" w:hAnsi="Arial" w:cs="Arial"/>
                <w:b/>
                <w:bCs/>
                <w:color w:val="000000"/>
                <w:sz w:val="20"/>
                <w:szCs w:val="20"/>
              </w:rPr>
              <w:t>Reģistrācijas Nr.</w:t>
            </w:r>
          </w:p>
        </w:tc>
        <w:tc>
          <w:tcPr>
            <w:tcW w:w="6702" w:type="dxa"/>
            <w:vAlign w:val="center"/>
          </w:tcPr>
          <w:p w:rsidR="005F4AA9" w:rsidRPr="00755D0C" w:rsidRDefault="005F4AA9" w:rsidP="00AA3878">
            <w:pPr>
              <w:jc w:val="center"/>
              <w:rPr>
                <w:rFonts w:ascii="Arial" w:hAnsi="Arial" w:cs="Arial"/>
                <w:b/>
                <w:bCs/>
                <w:color w:val="000000"/>
                <w:sz w:val="20"/>
                <w:szCs w:val="20"/>
              </w:rPr>
            </w:pPr>
            <w:r w:rsidRPr="00755D0C">
              <w:rPr>
                <w:rFonts w:ascii="Arial" w:hAnsi="Arial" w:cs="Arial"/>
                <w:b/>
                <w:bCs/>
                <w:color w:val="000000"/>
                <w:sz w:val="20"/>
                <w:szCs w:val="20"/>
              </w:rPr>
              <w:t>40003379590</w:t>
            </w:r>
          </w:p>
        </w:tc>
      </w:tr>
      <w:tr w:rsidR="005F4AA9" w:rsidRPr="00755D0C" w:rsidTr="00AA3878">
        <w:trPr>
          <w:trHeight w:val="303"/>
        </w:trPr>
        <w:tc>
          <w:tcPr>
            <w:tcW w:w="2835" w:type="dxa"/>
            <w:shd w:val="clear" w:color="auto" w:fill="008000"/>
            <w:vAlign w:val="center"/>
          </w:tcPr>
          <w:p w:rsidR="005F4AA9" w:rsidRPr="00755D0C" w:rsidRDefault="005F4AA9" w:rsidP="00AA3878">
            <w:pPr>
              <w:spacing w:before="100" w:beforeAutospacing="1" w:after="100" w:afterAutospacing="1"/>
              <w:jc w:val="right"/>
              <w:rPr>
                <w:rFonts w:ascii="Arial" w:hAnsi="Arial" w:cs="Arial"/>
                <w:b/>
                <w:bCs/>
                <w:color w:val="000000"/>
                <w:sz w:val="20"/>
                <w:szCs w:val="20"/>
              </w:rPr>
            </w:pPr>
            <w:r w:rsidRPr="00755D0C">
              <w:rPr>
                <w:rFonts w:ascii="Arial" w:hAnsi="Arial" w:cs="Arial"/>
                <w:b/>
                <w:bCs/>
                <w:color w:val="000000"/>
                <w:sz w:val="20"/>
                <w:szCs w:val="20"/>
              </w:rPr>
              <w:t>Būvkomersanta reģ. Nr.</w:t>
            </w:r>
          </w:p>
        </w:tc>
        <w:tc>
          <w:tcPr>
            <w:tcW w:w="6702" w:type="dxa"/>
            <w:vAlign w:val="center"/>
          </w:tcPr>
          <w:p w:rsidR="005F4AA9" w:rsidRPr="00755D0C" w:rsidRDefault="005F4AA9" w:rsidP="00AA3878">
            <w:pPr>
              <w:jc w:val="center"/>
              <w:rPr>
                <w:rFonts w:ascii="Arial" w:hAnsi="Arial" w:cs="Arial"/>
                <w:b/>
                <w:bCs/>
                <w:color w:val="000000"/>
                <w:sz w:val="20"/>
                <w:szCs w:val="20"/>
              </w:rPr>
            </w:pPr>
            <w:r w:rsidRPr="00755D0C">
              <w:rPr>
                <w:rFonts w:ascii="Arial" w:hAnsi="Arial" w:cs="Arial"/>
                <w:b/>
                <w:bCs/>
                <w:color w:val="000000"/>
                <w:sz w:val="20"/>
                <w:szCs w:val="20"/>
              </w:rPr>
              <w:t>1211-R</w:t>
            </w:r>
          </w:p>
        </w:tc>
      </w:tr>
      <w:tr w:rsidR="005F4AA9" w:rsidRPr="00755D0C" w:rsidTr="00AA3878">
        <w:trPr>
          <w:trHeight w:val="303"/>
        </w:trPr>
        <w:tc>
          <w:tcPr>
            <w:tcW w:w="2835" w:type="dxa"/>
            <w:shd w:val="clear" w:color="auto" w:fill="008000"/>
            <w:vAlign w:val="center"/>
          </w:tcPr>
          <w:p w:rsidR="005F4AA9" w:rsidRPr="00755D0C" w:rsidRDefault="005F4AA9" w:rsidP="00AA3878">
            <w:pPr>
              <w:spacing w:before="100" w:beforeAutospacing="1" w:after="100" w:afterAutospacing="1"/>
              <w:jc w:val="right"/>
              <w:rPr>
                <w:rFonts w:ascii="Arial" w:hAnsi="Arial" w:cs="Arial"/>
                <w:b/>
                <w:bCs/>
                <w:color w:val="000000"/>
                <w:sz w:val="20"/>
                <w:szCs w:val="20"/>
              </w:rPr>
            </w:pPr>
            <w:r w:rsidRPr="00755D0C">
              <w:rPr>
                <w:rFonts w:ascii="Arial" w:hAnsi="Arial" w:cs="Arial"/>
                <w:b/>
                <w:bCs/>
                <w:color w:val="000000"/>
                <w:sz w:val="20"/>
                <w:szCs w:val="20"/>
              </w:rPr>
              <w:t>Adrese</w:t>
            </w:r>
          </w:p>
        </w:tc>
        <w:tc>
          <w:tcPr>
            <w:tcW w:w="6702" w:type="dxa"/>
            <w:vAlign w:val="center"/>
          </w:tcPr>
          <w:p w:rsidR="005F4AA9" w:rsidRPr="00755D0C" w:rsidRDefault="005F4AA9" w:rsidP="00AA3878">
            <w:pPr>
              <w:jc w:val="center"/>
              <w:rPr>
                <w:rFonts w:ascii="Arial" w:hAnsi="Arial" w:cs="Arial"/>
                <w:b/>
                <w:bCs/>
                <w:color w:val="000000"/>
                <w:sz w:val="20"/>
                <w:szCs w:val="20"/>
              </w:rPr>
            </w:pPr>
            <w:r w:rsidRPr="00755D0C">
              <w:rPr>
                <w:rFonts w:ascii="Arial" w:hAnsi="Arial" w:cs="Arial"/>
                <w:b/>
                <w:bCs/>
                <w:color w:val="000000"/>
                <w:sz w:val="20"/>
                <w:szCs w:val="20"/>
              </w:rPr>
              <w:t>Baldones iela 12, Rīga, LV-1007</w:t>
            </w:r>
          </w:p>
        </w:tc>
      </w:tr>
      <w:tr w:rsidR="005F4AA9" w:rsidRPr="00755D0C" w:rsidTr="00AA3878">
        <w:trPr>
          <w:trHeight w:val="303"/>
        </w:trPr>
        <w:tc>
          <w:tcPr>
            <w:tcW w:w="2835" w:type="dxa"/>
            <w:shd w:val="clear" w:color="auto" w:fill="008000"/>
            <w:vAlign w:val="center"/>
          </w:tcPr>
          <w:p w:rsidR="005F4AA9" w:rsidRPr="00755D0C" w:rsidRDefault="005F4AA9" w:rsidP="00AA3878">
            <w:pPr>
              <w:spacing w:before="100" w:beforeAutospacing="1" w:after="100" w:afterAutospacing="1"/>
              <w:jc w:val="right"/>
              <w:rPr>
                <w:rFonts w:ascii="Arial" w:hAnsi="Arial" w:cs="Arial"/>
                <w:b/>
                <w:bCs/>
                <w:color w:val="000000"/>
                <w:sz w:val="20"/>
                <w:szCs w:val="20"/>
              </w:rPr>
            </w:pPr>
          </w:p>
        </w:tc>
        <w:tc>
          <w:tcPr>
            <w:tcW w:w="6702" w:type="dxa"/>
            <w:vAlign w:val="center"/>
          </w:tcPr>
          <w:p w:rsidR="005F4AA9" w:rsidRPr="00755D0C" w:rsidRDefault="005F4AA9" w:rsidP="00AA3878">
            <w:pPr>
              <w:spacing w:before="120"/>
              <w:jc w:val="center"/>
              <w:rPr>
                <w:rFonts w:ascii="Arial" w:hAnsi="Arial" w:cs="Arial"/>
                <w:b/>
                <w:bCs/>
                <w:color w:val="FF0000"/>
                <w:sz w:val="20"/>
                <w:szCs w:val="20"/>
              </w:rPr>
            </w:pPr>
          </w:p>
        </w:tc>
      </w:tr>
      <w:tr w:rsidR="005F4AA9" w:rsidRPr="00755D0C" w:rsidTr="00AA3878">
        <w:trPr>
          <w:trHeight w:val="303"/>
        </w:trPr>
        <w:tc>
          <w:tcPr>
            <w:tcW w:w="2835" w:type="dxa"/>
            <w:shd w:val="clear" w:color="auto" w:fill="008000"/>
            <w:vAlign w:val="center"/>
          </w:tcPr>
          <w:p w:rsidR="005F4AA9" w:rsidRPr="00755D0C" w:rsidRDefault="005F4AA9" w:rsidP="00AA3878">
            <w:pPr>
              <w:spacing w:before="100" w:beforeAutospacing="1" w:after="100" w:afterAutospacing="1"/>
              <w:jc w:val="right"/>
              <w:rPr>
                <w:rFonts w:ascii="Arial" w:hAnsi="Arial" w:cs="Arial"/>
                <w:b/>
                <w:bCs/>
                <w:color w:val="000000"/>
                <w:sz w:val="20"/>
                <w:szCs w:val="20"/>
              </w:rPr>
            </w:pPr>
            <w:r w:rsidRPr="00755D0C">
              <w:rPr>
                <w:rFonts w:ascii="Arial" w:hAnsi="Arial" w:cs="Arial"/>
                <w:b/>
                <w:bCs/>
                <w:color w:val="000000"/>
                <w:sz w:val="20"/>
                <w:szCs w:val="20"/>
              </w:rPr>
              <w:t>Līguma Nr.</w:t>
            </w:r>
          </w:p>
        </w:tc>
        <w:tc>
          <w:tcPr>
            <w:tcW w:w="6702" w:type="dxa"/>
            <w:vAlign w:val="center"/>
          </w:tcPr>
          <w:p w:rsidR="005F4AA9" w:rsidRPr="00755D0C" w:rsidRDefault="005F4AA9" w:rsidP="007B299B">
            <w:pPr>
              <w:jc w:val="center"/>
              <w:rPr>
                <w:rFonts w:ascii="Arial" w:hAnsi="Arial" w:cs="Arial"/>
                <w:b/>
                <w:bCs/>
                <w:color w:val="000000"/>
              </w:rPr>
            </w:pPr>
            <w:r w:rsidRPr="00755D0C">
              <w:rPr>
                <w:b/>
              </w:rPr>
              <w:t>1L/</w:t>
            </w:r>
            <w:r w:rsidR="007B299B">
              <w:rPr>
                <w:b/>
              </w:rPr>
              <w:t>34</w:t>
            </w:r>
            <w:r w:rsidRPr="00755D0C">
              <w:rPr>
                <w:b/>
              </w:rPr>
              <w:t>/201</w:t>
            </w:r>
            <w:r w:rsidR="007B299B">
              <w:rPr>
                <w:b/>
              </w:rPr>
              <w:t>8</w:t>
            </w:r>
          </w:p>
        </w:tc>
      </w:tr>
      <w:tr w:rsidR="005F4AA9" w:rsidRPr="00755D0C" w:rsidTr="00AA3878">
        <w:trPr>
          <w:trHeight w:val="303"/>
        </w:trPr>
        <w:tc>
          <w:tcPr>
            <w:tcW w:w="2835" w:type="dxa"/>
            <w:shd w:val="clear" w:color="auto" w:fill="008000"/>
            <w:vAlign w:val="center"/>
          </w:tcPr>
          <w:p w:rsidR="005F4AA9" w:rsidRPr="00755D0C" w:rsidRDefault="005F4AA9" w:rsidP="00AA3878">
            <w:pPr>
              <w:spacing w:before="100" w:beforeAutospacing="1" w:after="100" w:afterAutospacing="1"/>
              <w:jc w:val="right"/>
              <w:rPr>
                <w:rFonts w:ascii="Arial" w:hAnsi="Arial" w:cs="Arial"/>
                <w:b/>
                <w:bCs/>
                <w:color w:val="000000"/>
                <w:sz w:val="20"/>
                <w:szCs w:val="20"/>
              </w:rPr>
            </w:pPr>
          </w:p>
        </w:tc>
        <w:tc>
          <w:tcPr>
            <w:tcW w:w="6702" w:type="dxa"/>
            <w:vAlign w:val="center"/>
          </w:tcPr>
          <w:p w:rsidR="005F4AA9" w:rsidRPr="00755D0C" w:rsidRDefault="005F4AA9" w:rsidP="00AA3878">
            <w:pPr>
              <w:jc w:val="center"/>
              <w:rPr>
                <w:rFonts w:ascii="Arial" w:hAnsi="Arial" w:cs="Arial"/>
                <w:b/>
                <w:bCs/>
                <w:color w:val="000000"/>
                <w:sz w:val="20"/>
                <w:szCs w:val="20"/>
              </w:rPr>
            </w:pPr>
          </w:p>
        </w:tc>
      </w:tr>
      <w:tr w:rsidR="005F4AA9" w:rsidRPr="00755D0C" w:rsidTr="00AA3878">
        <w:trPr>
          <w:trHeight w:val="303"/>
        </w:trPr>
        <w:tc>
          <w:tcPr>
            <w:tcW w:w="2835" w:type="dxa"/>
            <w:shd w:val="clear" w:color="auto" w:fill="008000"/>
            <w:vAlign w:val="center"/>
          </w:tcPr>
          <w:p w:rsidR="005F4AA9" w:rsidRPr="00755D0C" w:rsidRDefault="005F4AA9" w:rsidP="00AA3878">
            <w:pPr>
              <w:spacing w:before="100" w:beforeAutospacing="1" w:after="100" w:afterAutospacing="1"/>
              <w:jc w:val="right"/>
              <w:rPr>
                <w:rFonts w:ascii="Arial" w:hAnsi="Arial" w:cs="Arial"/>
                <w:b/>
                <w:bCs/>
                <w:color w:val="000000"/>
                <w:sz w:val="20"/>
                <w:szCs w:val="20"/>
              </w:rPr>
            </w:pPr>
          </w:p>
        </w:tc>
        <w:tc>
          <w:tcPr>
            <w:tcW w:w="6702" w:type="dxa"/>
            <w:vAlign w:val="center"/>
          </w:tcPr>
          <w:p w:rsidR="005F4AA9" w:rsidRPr="00755D0C" w:rsidRDefault="005F4AA9" w:rsidP="00AA3878">
            <w:pPr>
              <w:spacing w:before="120"/>
              <w:jc w:val="center"/>
              <w:rPr>
                <w:rFonts w:ascii="Arial" w:hAnsi="Arial" w:cs="Arial"/>
                <w:b/>
                <w:bCs/>
                <w:color w:val="FF0000"/>
                <w:sz w:val="20"/>
                <w:szCs w:val="20"/>
              </w:rPr>
            </w:pPr>
          </w:p>
        </w:tc>
      </w:tr>
      <w:tr w:rsidR="005F4AA9" w:rsidRPr="00755D0C" w:rsidTr="00AA3878">
        <w:trPr>
          <w:trHeight w:val="303"/>
        </w:trPr>
        <w:tc>
          <w:tcPr>
            <w:tcW w:w="2835" w:type="dxa"/>
            <w:shd w:val="clear" w:color="auto" w:fill="008000"/>
            <w:vAlign w:val="center"/>
          </w:tcPr>
          <w:p w:rsidR="005F4AA9" w:rsidRPr="00755D0C" w:rsidRDefault="005F4AA9" w:rsidP="00AA3878">
            <w:pPr>
              <w:spacing w:before="100" w:beforeAutospacing="1" w:after="100" w:afterAutospacing="1"/>
              <w:jc w:val="right"/>
              <w:rPr>
                <w:rFonts w:ascii="Arial" w:hAnsi="Arial" w:cs="Arial"/>
                <w:b/>
                <w:bCs/>
                <w:color w:val="000000"/>
                <w:sz w:val="20"/>
                <w:szCs w:val="20"/>
              </w:rPr>
            </w:pPr>
            <w:r w:rsidRPr="00755D0C">
              <w:rPr>
                <w:rFonts w:ascii="Arial" w:hAnsi="Arial" w:cs="Arial"/>
                <w:b/>
                <w:bCs/>
                <w:color w:val="000000"/>
                <w:sz w:val="20"/>
                <w:szCs w:val="20"/>
              </w:rPr>
              <w:t>Darba nosaukums</w:t>
            </w:r>
          </w:p>
        </w:tc>
        <w:tc>
          <w:tcPr>
            <w:tcW w:w="6702" w:type="dxa"/>
            <w:vAlign w:val="center"/>
          </w:tcPr>
          <w:p w:rsidR="001306DD" w:rsidRPr="001306DD" w:rsidRDefault="001306DD" w:rsidP="00AA3878">
            <w:pPr>
              <w:spacing w:before="240"/>
              <w:jc w:val="center"/>
              <w:rPr>
                <w:rFonts w:ascii="Arial" w:hAnsi="Arial" w:cs="Arial"/>
                <w:b/>
                <w:bCs/>
                <w:sz w:val="28"/>
                <w:szCs w:val="28"/>
                <w:lang w:eastAsia="en-US"/>
              </w:rPr>
            </w:pPr>
            <w:r w:rsidRPr="001306DD">
              <w:rPr>
                <w:rFonts w:ascii="Arial" w:hAnsi="Arial" w:cs="Arial"/>
                <w:b/>
                <w:bCs/>
                <w:sz w:val="28"/>
                <w:szCs w:val="28"/>
                <w:lang w:eastAsia="en-US"/>
              </w:rPr>
              <w:t>Par komunālo notekūdeņu un notekūdeņu dūņu apsaimniekošanu Latvijā (2018)</w:t>
            </w:r>
            <w:r>
              <w:rPr>
                <w:rFonts w:ascii="Arial" w:hAnsi="Arial" w:cs="Arial"/>
                <w:b/>
                <w:bCs/>
                <w:sz w:val="28"/>
                <w:szCs w:val="28"/>
                <w:lang w:eastAsia="en-US"/>
              </w:rPr>
              <w:t>.</w:t>
            </w:r>
          </w:p>
          <w:p w:rsidR="005F4AA9" w:rsidRPr="00755D0C" w:rsidRDefault="007B299B" w:rsidP="00AA3878">
            <w:pPr>
              <w:spacing w:before="240"/>
              <w:jc w:val="center"/>
              <w:rPr>
                <w:rFonts w:ascii="Arial" w:hAnsi="Arial" w:cs="Arial"/>
                <w:b/>
                <w:bCs/>
                <w:color w:val="000000"/>
                <w:sz w:val="28"/>
                <w:szCs w:val="28"/>
              </w:rPr>
            </w:pPr>
            <w:r w:rsidRPr="007B299B">
              <w:rPr>
                <w:rFonts w:ascii="Arial" w:hAnsi="Arial" w:cs="Arial"/>
                <w:b/>
                <w:bCs/>
                <w:color w:val="000000"/>
                <w:sz w:val="28"/>
                <w:szCs w:val="28"/>
              </w:rPr>
              <w:t>Ūdenssaimniecības datu aktualizācija 49 aglomerācijās ar cilvēku ekvivalentu (CE) no 2000 līdz 10000</w:t>
            </w:r>
            <w:r w:rsidR="001306DD">
              <w:rPr>
                <w:rFonts w:ascii="Arial" w:hAnsi="Arial" w:cs="Arial"/>
                <w:b/>
                <w:bCs/>
                <w:color w:val="000000"/>
                <w:sz w:val="28"/>
                <w:szCs w:val="28"/>
              </w:rPr>
              <w:t>.</w:t>
            </w:r>
          </w:p>
          <w:p w:rsidR="005F4AA9" w:rsidRPr="00755D0C" w:rsidRDefault="005F4AA9" w:rsidP="00AA3878">
            <w:pPr>
              <w:spacing w:before="240"/>
              <w:jc w:val="center"/>
              <w:rPr>
                <w:rFonts w:ascii="Arial" w:hAnsi="Arial" w:cs="Arial"/>
                <w:b/>
                <w:bCs/>
                <w:color w:val="000000"/>
                <w:sz w:val="28"/>
                <w:szCs w:val="28"/>
              </w:rPr>
            </w:pPr>
          </w:p>
        </w:tc>
      </w:tr>
      <w:tr w:rsidR="005F4AA9" w:rsidRPr="00755D0C" w:rsidTr="00AA3878">
        <w:trPr>
          <w:trHeight w:val="284"/>
        </w:trPr>
        <w:tc>
          <w:tcPr>
            <w:tcW w:w="2835" w:type="dxa"/>
            <w:shd w:val="clear" w:color="auto" w:fill="008000"/>
            <w:vAlign w:val="center"/>
          </w:tcPr>
          <w:p w:rsidR="005F4AA9" w:rsidRPr="00755D0C" w:rsidRDefault="005F4AA9" w:rsidP="00AA3878">
            <w:pPr>
              <w:spacing w:before="100" w:beforeAutospacing="1" w:after="100" w:afterAutospacing="1"/>
              <w:jc w:val="right"/>
              <w:rPr>
                <w:rFonts w:ascii="Arial" w:hAnsi="Arial" w:cs="Arial"/>
                <w:b/>
                <w:bCs/>
                <w:color w:val="000000"/>
                <w:sz w:val="20"/>
                <w:szCs w:val="20"/>
              </w:rPr>
            </w:pPr>
          </w:p>
        </w:tc>
        <w:tc>
          <w:tcPr>
            <w:tcW w:w="6702" w:type="dxa"/>
            <w:vAlign w:val="center"/>
          </w:tcPr>
          <w:p w:rsidR="005F4AA9" w:rsidRPr="00755D0C" w:rsidRDefault="005F4AA9" w:rsidP="00AA3878">
            <w:pPr>
              <w:jc w:val="center"/>
              <w:rPr>
                <w:rFonts w:ascii="Arial" w:hAnsi="Arial" w:cs="Arial"/>
                <w:b/>
                <w:bCs/>
                <w:color w:val="000000"/>
                <w:sz w:val="20"/>
                <w:szCs w:val="20"/>
              </w:rPr>
            </w:pPr>
          </w:p>
        </w:tc>
      </w:tr>
      <w:tr w:rsidR="005F4AA9" w:rsidRPr="00755D0C" w:rsidTr="00AA3878">
        <w:trPr>
          <w:trHeight w:val="284"/>
        </w:trPr>
        <w:tc>
          <w:tcPr>
            <w:tcW w:w="2835" w:type="dxa"/>
            <w:shd w:val="clear" w:color="auto" w:fill="008000"/>
            <w:vAlign w:val="center"/>
          </w:tcPr>
          <w:p w:rsidR="005F4AA9" w:rsidRPr="00755D0C" w:rsidRDefault="005F4AA9" w:rsidP="00AA3878">
            <w:pPr>
              <w:spacing w:before="100" w:beforeAutospacing="1" w:after="100" w:afterAutospacing="1"/>
              <w:jc w:val="right"/>
              <w:rPr>
                <w:rFonts w:ascii="Arial" w:hAnsi="Arial" w:cs="Arial"/>
                <w:b/>
                <w:bCs/>
                <w:color w:val="000000"/>
                <w:sz w:val="20"/>
                <w:szCs w:val="20"/>
              </w:rPr>
            </w:pPr>
          </w:p>
        </w:tc>
        <w:tc>
          <w:tcPr>
            <w:tcW w:w="6702" w:type="dxa"/>
            <w:vAlign w:val="center"/>
          </w:tcPr>
          <w:p w:rsidR="005F4AA9" w:rsidRPr="00755D0C" w:rsidRDefault="00355268" w:rsidP="00AE083A">
            <w:pPr>
              <w:jc w:val="center"/>
              <w:rPr>
                <w:rFonts w:ascii="Arial" w:hAnsi="Arial" w:cs="Arial"/>
                <w:b/>
                <w:bCs/>
                <w:color w:val="000000"/>
                <w:sz w:val="20"/>
                <w:szCs w:val="20"/>
              </w:rPr>
            </w:pPr>
            <w:r>
              <w:rPr>
                <w:rFonts w:ascii="Arial" w:hAnsi="Arial" w:cs="Arial"/>
                <w:b/>
                <w:bCs/>
                <w:color w:val="000000"/>
                <w:szCs w:val="20"/>
              </w:rPr>
              <w:t xml:space="preserve">GALA </w:t>
            </w:r>
            <w:r w:rsidR="005F4AA9">
              <w:rPr>
                <w:rFonts w:ascii="Arial" w:hAnsi="Arial" w:cs="Arial"/>
                <w:b/>
                <w:bCs/>
                <w:color w:val="000000"/>
                <w:szCs w:val="20"/>
              </w:rPr>
              <w:t>ZIŅOJUMS</w:t>
            </w:r>
          </w:p>
        </w:tc>
      </w:tr>
      <w:tr w:rsidR="005F4AA9" w:rsidRPr="00755D0C" w:rsidTr="00AA3878">
        <w:trPr>
          <w:trHeight w:val="339"/>
        </w:trPr>
        <w:tc>
          <w:tcPr>
            <w:tcW w:w="2835" w:type="dxa"/>
            <w:shd w:val="clear" w:color="auto" w:fill="008000"/>
            <w:vAlign w:val="center"/>
          </w:tcPr>
          <w:p w:rsidR="005F4AA9" w:rsidRPr="00755D0C" w:rsidRDefault="005F4AA9" w:rsidP="00AA3878">
            <w:pPr>
              <w:spacing w:before="100" w:beforeAutospacing="1" w:after="100" w:afterAutospacing="1"/>
              <w:jc w:val="right"/>
              <w:rPr>
                <w:rFonts w:ascii="Arial" w:hAnsi="Arial" w:cs="Arial"/>
                <w:b/>
                <w:bCs/>
                <w:color w:val="000000"/>
                <w:sz w:val="20"/>
                <w:szCs w:val="20"/>
              </w:rPr>
            </w:pPr>
            <w:r w:rsidRPr="00755D0C">
              <w:rPr>
                <w:rFonts w:ascii="Arial" w:hAnsi="Arial" w:cs="Arial"/>
                <w:b/>
                <w:bCs/>
                <w:color w:val="000000"/>
                <w:sz w:val="20"/>
                <w:szCs w:val="20"/>
              </w:rPr>
              <w:t>SIA ‘’LAKALME’’ valdes priekšsēdētājs</w:t>
            </w:r>
          </w:p>
        </w:tc>
        <w:tc>
          <w:tcPr>
            <w:tcW w:w="6702" w:type="dxa"/>
            <w:vAlign w:val="center"/>
          </w:tcPr>
          <w:p w:rsidR="005F4AA9" w:rsidRPr="00755D0C" w:rsidRDefault="00261162" w:rsidP="00AA3878">
            <w:pPr>
              <w:jc w:val="center"/>
              <w:rPr>
                <w:rFonts w:ascii="Arial" w:hAnsi="Arial" w:cs="Arial"/>
                <w:b/>
                <w:bCs/>
                <w:color w:val="000000"/>
              </w:rPr>
            </w:pPr>
            <w:r>
              <w:rPr>
                <w:rFonts w:ascii="Arial" w:hAnsi="Arial" w:cs="Arial"/>
                <w:b/>
                <w:bCs/>
                <w:color w:val="000000"/>
              </w:rPr>
              <w:t>2. DAĻA</w:t>
            </w:r>
          </w:p>
          <w:p w:rsidR="005F4AA9" w:rsidRPr="00755D0C" w:rsidRDefault="005F4AA9" w:rsidP="00AA3878">
            <w:pPr>
              <w:jc w:val="center"/>
              <w:rPr>
                <w:rFonts w:ascii="Arial" w:hAnsi="Arial" w:cs="Arial"/>
                <w:b/>
                <w:bCs/>
                <w:color w:val="000000"/>
              </w:rPr>
            </w:pPr>
          </w:p>
          <w:p w:rsidR="005F4AA9" w:rsidRPr="00755D0C" w:rsidRDefault="005F4AA9" w:rsidP="00AA3878">
            <w:pPr>
              <w:jc w:val="right"/>
              <w:rPr>
                <w:rFonts w:ascii="Arial" w:hAnsi="Arial" w:cs="Arial"/>
                <w:b/>
                <w:bCs/>
                <w:color w:val="000000"/>
              </w:rPr>
            </w:pPr>
            <w:r w:rsidRPr="00755D0C">
              <w:rPr>
                <w:rFonts w:ascii="Arial" w:hAnsi="Arial" w:cs="Arial"/>
                <w:b/>
                <w:bCs/>
                <w:color w:val="000000"/>
              </w:rPr>
              <w:t>Imants Ārgalis</w:t>
            </w:r>
          </w:p>
          <w:p w:rsidR="007B299B" w:rsidRDefault="007B299B" w:rsidP="00AA3878">
            <w:pPr>
              <w:rPr>
                <w:rFonts w:ascii="Arial" w:hAnsi="Arial" w:cs="Arial"/>
                <w:b/>
                <w:bCs/>
                <w:color w:val="000000"/>
              </w:rPr>
            </w:pPr>
          </w:p>
          <w:p w:rsidR="005F4AA9" w:rsidRPr="00755D0C" w:rsidRDefault="005F4AA9" w:rsidP="00AA3878">
            <w:pPr>
              <w:rPr>
                <w:rFonts w:ascii="Arial" w:hAnsi="Arial" w:cs="Arial"/>
                <w:b/>
                <w:bCs/>
                <w:color w:val="000000"/>
              </w:rPr>
            </w:pPr>
          </w:p>
        </w:tc>
      </w:tr>
      <w:tr w:rsidR="005F4AA9" w:rsidRPr="00755D0C" w:rsidTr="00AA3878">
        <w:trPr>
          <w:trHeight w:val="738"/>
        </w:trPr>
        <w:tc>
          <w:tcPr>
            <w:tcW w:w="2835" w:type="dxa"/>
            <w:shd w:val="clear" w:color="auto" w:fill="008000"/>
            <w:vAlign w:val="center"/>
          </w:tcPr>
          <w:p w:rsidR="005F4AA9" w:rsidRPr="00755D0C" w:rsidRDefault="005F4AA9" w:rsidP="00AA3878">
            <w:pPr>
              <w:spacing w:before="100" w:beforeAutospacing="1" w:after="100" w:afterAutospacing="1"/>
              <w:jc w:val="right"/>
              <w:rPr>
                <w:rFonts w:ascii="Arial" w:hAnsi="Arial" w:cs="Arial"/>
                <w:b/>
                <w:bCs/>
                <w:sz w:val="16"/>
                <w:szCs w:val="16"/>
              </w:rPr>
            </w:pPr>
          </w:p>
        </w:tc>
        <w:tc>
          <w:tcPr>
            <w:tcW w:w="6702" w:type="dxa"/>
            <w:vAlign w:val="center"/>
          </w:tcPr>
          <w:p w:rsidR="005F4AA9" w:rsidRDefault="005F4AA9" w:rsidP="007B299B">
            <w:pPr>
              <w:rPr>
                <w:rFonts w:ascii="Arial" w:hAnsi="Arial" w:cs="Arial"/>
                <w:b/>
                <w:bCs/>
                <w:color w:val="000000"/>
                <w:sz w:val="16"/>
                <w:szCs w:val="16"/>
              </w:rPr>
            </w:pPr>
          </w:p>
          <w:p w:rsidR="007B299B" w:rsidRDefault="007B299B" w:rsidP="007B299B">
            <w:pPr>
              <w:rPr>
                <w:rFonts w:ascii="Arial" w:hAnsi="Arial" w:cs="Arial"/>
                <w:b/>
                <w:bCs/>
                <w:color w:val="000000"/>
                <w:sz w:val="16"/>
                <w:szCs w:val="16"/>
              </w:rPr>
            </w:pPr>
          </w:p>
          <w:p w:rsidR="007B299B" w:rsidRDefault="007B299B" w:rsidP="007B299B">
            <w:pPr>
              <w:rPr>
                <w:rFonts w:ascii="Arial" w:hAnsi="Arial" w:cs="Arial"/>
                <w:b/>
                <w:bCs/>
                <w:color w:val="000000"/>
                <w:sz w:val="16"/>
                <w:szCs w:val="16"/>
              </w:rPr>
            </w:pPr>
          </w:p>
          <w:p w:rsidR="007B299B" w:rsidRDefault="007B299B" w:rsidP="007B299B">
            <w:pPr>
              <w:rPr>
                <w:rFonts w:ascii="Arial" w:hAnsi="Arial" w:cs="Arial"/>
                <w:b/>
                <w:bCs/>
                <w:color w:val="000000"/>
                <w:sz w:val="16"/>
                <w:szCs w:val="16"/>
              </w:rPr>
            </w:pPr>
          </w:p>
          <w:p w:rsidR="007B299B" w:rsidRDefault="007B299B" w:rsidP="007B299B">
            <w:pPr>
              <w:rPr>
                <w:rFonts w:ascii="Arial" w:hAnsi="Arial" w:cs="Arial"/>
                <w:b/>
                <w:bCs/>
                <w:color w:val="000000"/>
                <w:sz w:val="16"/>
                <w:szCs w:val="16"/>
              </w:rPr>
            </w:pPr>
          </w:p>
          <w:p w:rsidR="007B299B" w:rsidRDefault="007B299B" w:rsidP="007B299B">
            <w:pPr>
              <w:rPr>
                <w:rFonts w:ascii="Arial" w:hAnsi="Arial" w:cs="Arial"/>
                <w:b/>
                <w:bCs/>
                <w:color w:val="000000"/>
                <w:sz w:val="16"/>
                <w:szCs w:val="16"/>
              </w:rPr>
            </w:pPr>
          </w:p>
          <w:p w:rsidR="001306DD" w:rsidRDefault="001306DD" w:rsidP="007B299B">
            <w:pPr>
              <w:rPr>
                <w:rFonts w:ascii="Arial" w:hAnsi="Arial" w:cs="Arial"/>
                <w:b/>
                <w:bCs/>
                <w:color w:val="000000"/>
                <w:sz w:val="16"/>
                <w:szCs w:val="16"/>
              </w:rPr>
            </w:pPr>
          </w:p>
          <w:p w:rsidR="007B299B" w:rsidRPr="00755D0C" w:rsidRDefault="007B299B" w:rsidP="007B299B">
            <w:pPr>
              <w:jc w:val="center"/>
              <w:rPr>
                <w:rFonts w:ascii="Arial" w:hAnsi="Arial" w:cs="Arial"/>
                <w:b/>
                <w:bCs/>
                <w:color w:val="000000"/>
                <w:sz w:val="16"/>
                <w:szCs w:val="16"/>
              </w:rPr>
            </w:pPr>
            <w:r w:rsidRPr="007B299B">
              <w:rPr>
                <w:rFonts w:ascii="Arial" w:hAnsi="Arial" w:cs="Arial"/>
                <w:b/>
                <w:bCs/>
                <w:color w:val="000000"/>
                <w:szCs w:val="16"/>
              </w:rPr>
              <w:t>Rīga 2018</w:t>
            </w:r>
          </w:p>
        </w:tc>
      </w:tr>
    </w:tbl>
    <w:sdt>
      <w:sdtPr>
        <w:rPr>
          <w:rFonts w:ascii="Times New Roman" w:eastAsia="Times New Roman" w:hAnsi="Times New Roman" w:cs="Times New Roman"/>
          <w:b w:val="0"/>
          <w:bCs w:val="0"/>
          <w:color w:val="auto"/>
          <w:sz w:val="24"/>
          <w:szCs w:val="24"/>
          <w:lang w:val="lv-LV" w:eastAsia="lv-LV"/>
        </w:rPr>
        <w:id w:val="-549612020"/>
        <w:docPartObj>
          <w:docPartGallery w:val="Table of Contents"/>
          <w:docPartUnique/>
        </w:docPartObj>
      </w:sdtPr>
      <w:sdtEndPr>
        <w:rPr>
          <w:noProof/>
        </w:rPr>
      </w:sdtEndPr>
      <w:sdtContent>
        <w:p w:rsidR="00270E42" w:rsidRDefault="00270E42" w:rsidP="00270E42">
          <w:pPr>
            <w:pStyle w:val="TOCHeading"/>
            <w:jc w:val="right"/>
            <w:rPr>
              <w:rFonts w:ascii="Times New Roman" w:hAnsi="Times New Roman" w:cs="Times New Roman"/>
              <w:color w:val="auto"/>
              <w:sz w:val="36"/>
            </w:rPr>
          </w:pPr>
          <w:r w:rsidRPr="00270E42">
            <w:rPr>
              <w:rFonts w:ascii="Times New Roman" w:hAnsi="Times New Roman" w:cs="Times New Roman"/>
              <w:color w:val="auto"/>
              <w:sz w:val="36"/>
            </w:rPr>
            <w:t>Satura rādītājs</w:t>
          </w:r>
        </w:p>
        <w:p w:rsidR="00270E42" w:rsidRPr="00270E42" w:rsidRDefault="00270E42" w:rsidP="00270E42">
          <w:pPr>
            <w:rPr>
              <w:lang w:val="en-US" w:eastAsia="ja-JP"/>
            </w:rPr>
          </w:pPr>
        </w:p>
        <w:p w:rsidR="005608F1" w:rsidRDefault="00270E42">
          <w:pPr>
            <w:pStyle w:val="TOC1"/>
            <w:tabs>
              <w:tab w:val="left" w:pos="480"/>
              <w:tab w:val="right" w:leader="dot" w:pos="8681"/>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1780709" w:history="1">
            <w:r w:rsidR="005608F1" w:rsidRPr="00944112">
              <w:rPr>
                <w:rStyle w:val="Hyperlink"/>
                <w:rFonts w:ascii="Times New Roman Bold" w:hAnsi="Times New Roman Bold"/>
                <w:noProof/>
              </w:rPr>
              <w:t>1.</w:t>
            </w:r>
            <w:r w:rsidR="005608F1">
              <w:rPr>
                <w:rFonts w:asciiTheme="minorHAnsi" w:eastAsiaTheme="minorEastAsia" w:hAnsiTheme="minorHAnsi" w:cstheme="minorBidi"/>
                <w:noProof/>
                <w:sz w:val="22"/>
                <w:szCs w:val="22"/>
              </w:rPr>
              <w:tab/>
            </w:r>
            <w:r w:rsidR="005608F1" w:rsidRPr="00944112">
              <w:rPr>
                <w:rStyle w:val="Hyperlink"/>
                <w:noProof/>
              </w:rPr>
              <w:t>Darba uzdevums</w:t>
            </w:r>
            <w:r w:rsidR="005608F1">
              <w:rPr>
                <w:noProof/>
                <w:webHidden/>
              </w:rPr>
              <w:tab/>
            </w:r>
            <w:r w:rsidR="005608F1">
              <w:rPr>
                <w:noProof/>
                <w:webHidden/>
              </w:rPr>
              <w:fldChar w:fldCharType="begin"/>
            </w:r>
            <w:r w:rsidR="005608F1">
              <w:rPr>
                <w:noProof/>
                <w:webHidden/>
              </w:rPr>
              <w:instrText xml:space="preserve"> PAGEREF _Toc531780709 \h </w:instrText>
            </w:r>
            <w:r w:rsidR="005608F1">
              <w:rPr>
                <w:noProof/>
                <w:webHidden/>
              </w:rPr>
            </w:r>
            <w:r w:rsidR="005608F1">
              <w:rPr>
                <w:noProof/>
                <w:webHidden/>
              </w:rPr>
              <w:fldChar w:fldCharType="separate"/>
            </w:r>
            <w:r w:rsidR="001306DD">
              <w:rPr>
                <w:noProof/>
                <w:webHidden/>
              </w:rPr>
              <w:t>4</w:t>
            </w:r>
            <w:r w:rsidR="005608F1">
              <w:rPr>
                <w:noProof/>
                <w:webHidden/>
              </w:rPr>
              <w:fldChar w:fldCharType="end"/>
            </w:r>
          </w:hyperlink>
        </w:p>
        <w:p w:rsidR="005608F1" w:rsidRDefault="001B2A9D">
          <w:pPr>
            <w:pStyle w:val="TOC2"/>
            <w:tabs>
              <w:tab w:val="left" w:pos="880"/>
              <w:tab w:val="right" w:leader="dot" w:pos="8681"/>
            </w:tabs>
            <w:rPr>
              <w:rFonts w:asciiTheme="minorHAnsi" w:eastAsiaTheme="minorEastAsia" w:hAnsiTheme="minorHAnsi" w:cstheme="minorBidi"/>
              <w:noProof/>
              <w:sz w:val="22"/>
              <w:szCs w:val="22"/>
            </w:rPr>
          </w:pPr>
          <w:hyperlink w:anchor="_Toc531780710" w:history="1">
            <w:r w:rsidR="005608F1" w:rsidRPr="00944112">
              <w:rPr>
                <w:rStyle w:val="Hyperlink"/>
                <w:noProof/>
              </w:rPr>
              <w:t>1.1</w:t>
            </w:r>
            <w:r w:rsidR="005608F1">
              <w:rPr>
                <w:rFonts w:asciiTheme="minorHAnsi" w:eastAsiaTheme="minorEastAsia" w:hAnsiTheme="minorHAnsi" w:cstheme="minorBidi"/>
                <w:noProof/>
                <w:sz w:val="22"/>
                <w:szCs w:val="22"/>
              </w:rPr>
              <w:tab/>
            </w:r>
            <w:r w:rsidR="005608F1" w:rsidRPr="00944112">
              <w:rPr>
                <w:rStyle w:val="Hyperlink"/>
                <w:noProof/>
              </w:rPr>
              <w:t>Notekūdeņu paraugu savākšana un analīze</w:t>
            </w:r>
            <w:r w:rsidR="005608F1">
              <w:rPr>
                <w:noProof/>
                <w:webHidden/>
              </w:rPr>
              <w:tab/>
            </w:r>
            <w:r w:rsidR="005608F1">
              <w:rPr>
                <w:noProof/>
                <w:webHidden/>
              </w:rPr>
              <w:fldChar w:fldCharType="begin"/>
            </w:r>
            <w:r w:rsidR="005608F1">
              <w:rPr>
                <w:noProof/>
                <w:webHidden/>
              </w:rPr>
              <w:instrText xml:space="preserve"> PAGEREF _Toc531780710 \h </w:instrText>
            </w:r>
            <w:r w:rsidR="005608F1">
              <w:rPr>
                <w:noProof/>
                <w:webHidden/>
              </w:rPr>
            </w:r>
            <w:r w:rsidR="005608F1">
              <w:rPr>
                <w:noProof/>
                <w:webHidden/>
              </w:rPr>
              <w:fldChar w:fldCharType="separate"/>
            </w:r>
            <w:r w:rsidR="001306DD">
              <w:rPr>
                <w:noProof/>
                <w:webHidden/>
              </w:rPr>
              <w:t>5</w:t>
            </w:r>
            <w:r w:rsidR="005608F1">
              <w:rPr>
                <w:noProof/>
                <w:webHidden/>
              </w:rPr>
              <w:fldChar w:fldCharType="end"/>
            </w:r>
          </w:hyperlink>
        </w:p>
        <w:p w:rsidR="005608F1" w:rsidRDefault="001B2A9D">
          <w:pPr>
            <w:pStyle w:val="TOC2"/>
            <w:tabs>
              <w:tab w:val="left" w:pos="880"/>
              <w:tab w:val="right" w:leader="dot" w:pos="8681"/>
            </w:tabs>
            <w:rPr>
              <w:rFonts w:asciiTheme="minorHAnsi" w:eastAsiaTheme="minorEastAsia" w:hAnsiTheme="minorHAnsi" w:cstheme="minorBidi"/>
              <w:noProof/>
              <w:sz w:val="22"/>
              <w:szCs w:val="22"/>
            </w:rPr>
          </w:pPr>
          <w:hyperlink w:anchor="_Toc531780711" w:history="1">
            <w:r w:rsidR="005608F1" w:rsidRPr="00944112">
              <w:rPr>
                <w:rStyle w:val="Hyperlink"/>
                <w:noProof/>
              </w:rPr>
              <w:t>1.2</w:t>
            </w:r>
            <w:r w:rsidR="005608F1">
              <w:rPr>
                <w:rFonts w:asciiTheme="minorHAnsi" w:eastAsiaTheme="minorEastAsia" w:hAnsiTheme="minorHAnsi" w:cstheme="minorBidi"/>
                <w:noProof/>
                <w:sz w:val="22"/>
                <w:szCs w:val="22"/>
              </w:rPr>
              <w:tab/>
            </w:r>
            <w:r w:rsidR="005608F1" w:rsidRPr="00944112">
              <w:rPr>
                <w:rStyle w:val="Hyperlink"/>
                <w:noProof/>
              </w:rPr>
              <w:t>Piesārņojuma avoti, kanalizācijas sistēmu lietotāju skaits</w:t>
            </w:r>
            <w:r w:rsidR="005608F1">
              <w:rPr>
                <w:noProof/>
                <w:webHidden/>
              </w:rPr>
              <w:tab/>
            </w:r>
            <w:r w:rsidR="005608F1">
              <w:rPr>
                <w:noProof/>
                <w:webHidden/>
              </w:rPr>
              <w:fldChar w:fldCharType="begin"/>
            </w:r>
            <w:r w:rsidR="005608F1">
              <w:rPr>
                <w:noProof/>
                <w:webHidden/>
              </w:rPr>
              <w:instrText xml:space="preserve"> PAGEREF _Toc531780711 \h </w:instrText>
            </w:r>
            <w:r w:rsidR="005608F1">
              <w:rPr>
                <w:noProof/>
                <w:webHidden/>
              </w:rPr>
            </w:r>
            <w:r w:rsidR="005608F1">
              <w:rPr>
                <w:noProof/>
                <w:webHidden/>
              </w:rPr>
              <w:fldChar w:fldCharType="separate"/>
            </w:r>
            <w:r w:rsidR="001306DD">
              <w:rPr>
                <w:noProof/>
                <w:webHidden/>
              </w:rPr>
              <w:t>5</w:t>
            </w:r>
            <w:r w:rsidR="005608F1">
              <w:rPr>
                <w:noProof/>
                <w:webHidden/>
              </w:rPr>
              <w:fldChar w:fldCharType="end"/>
            </w:r>
          </w:hyperlink>
        </w:p>
        <w:p w:rsidR="005608F1" w:rsidRDefault="001B2A9D">
          <w:pPr>
            <w:pStyle w:val="TOC2"/>
            <w:tabs>
              <w:tab w:val="left" w:pos="880"/>
              <w:tab w:val="right" w:leader="dot" w:pos="8681"/>
            </w:tabs>
            <w:rPr>
              <w:rFonts w:asciiTheme="minorHAnsi" w:eastAsiaTheme="minorEastAsia" w:hAnsiTheme="minorHAnsi" w:cstheme="minorBidi"/>
              <w:noProof/>
              <w:sz w:val="22"/>
              <w:szCs w:val="22"/>
            </w:rPr>
          </w:pPr>
          <w:hyperlink w:anchor="_Toc531780712" w:history="1">
            <w:r w:rsidR="005608F1" w:rsidRPr="00944112">
              <w:rPr>
                <w:rStyle w:val="Hyperlink"/>
                <w:noProof/>
              </w:rPr>
              <w:t>1.3</w:t>
            </w:r>
            <w:r w:rsidR="005608F1">
              <w:rPr>
                <w:rFonts w:asciiTheme="minorHAnsi" w:eastAsiaTheme="minorEastAsia" w:hAnsiTheme="minorHAnsi" w:cstheme="minorBidi"/>
                <w:noProof/>
                <w:sz w:val="22"/>
                <w:szCs w:val="22"/>
              </w:rPr>
              <w:tab/>
            </w:r>
            <w:r w:rsidR="005608F1" w:rsidRPr="00944112">
              <w:rPr>
                <w:rStyle w:val="Hyperlink"/>
                <w:noProof/>
              </w:rPr>
              <w:t>Decentralizēto kanalizācijas sistēmu lietotāju skaits un radītais piesārņojums</w:t>
            </w:r>
            <w:r w:rsidR="005608F1">
              <w:rPr>
                <w:noProof/>
                <w:webHidden/>
              </w:rPr>
              <w:tab/>
            </w:r>
            <w:r w:rsidR="005608F1">
              <w:rPr>
                <w:noProof/>
                <w:webHidden/>
              </w:rPr>
              <w:fldChar w:fldCharType="begin"/>
            </w:r>
            <w:r w:rsidR="005608F1">
              <w:rPr>
                <w:noProof/>
                <w:webHidden/>
              </w:rPr>
              <w:instrText xml:space="preserve"> PAGEREF _Toc531780712 \h </w:instrText>
            </w:r>
            <w:r w:rsidR="005608F1">
              <w:rPr>
                <w:noProof/>
                <w:webHidden/>
              </w:rPr>
            </w:r>
            <w:r w:rsidR="005608F1">
              <w:rPr>
                <w:noProof/>
                <w:webHidden/>
              </w:rPr>
              <w:fldChar w:fldCharType="separate"/>
            </w:r>
            <w:r w:rsidR="001306DD">
              <w:rPr>
                <w:noProof/>
                <w:webHidden/>
              </w:rPr>
              <w:t>6</w:t>
            </w:r>
            <w:r w:rsidR="005608F1">
              <w:rPr>
                <w:noProof/>
                <w:webHidden/>
              </w:rPr>
              <w:fldChar w:fldCharType="end"/>
            </w:r>
          </w:hyperlink>
        </w:p>
        <w:p w:rsidR="005608F1" w:rsidRDefault="001B2A9D">
          <w:pPr>
            <w:pStyle w:val="TOC2"/>
            <w:tabs>
              <w:tab w:val="left" w:pos="880"/>
              <w:tab w:val="right" w:leader="dot" w:pos="8681"/>
            </w:tabs>
            <w:rPr>
              <w:rFonts w:asciiTheme="minorHAnsi" w:eastAsiaTheme="minorEastAsia" w:hAnsiTheme="minorHAnsi" w:cstheme="minorBidi"/>
              <w:noProof/>
              <w:sz w:val="22"/>
              <w:szCs w:val="22"/>
            </w:rPr>
          </w:pPr>
          <w:hyperlink w:anchor="_Toc531780713" w:history="1">
            <w:r w:rsidR="005608F1" w:rsidRPr="00944112">
              <w:rPr>
                <w:rStyle w:val="Hyperlink"/>
                <w:noProof/>
              </w:rPr>
              <w:t>1.4</w:t>
            </w:r>
            <w:r w:rsidR="005608F1">
              <w:rPr>
                <w:rFonts w:asciiTheme="minorHAnsi" w:eastAsiaTheme="minorEastAsia" w:hAnsiTheme="minorHAnsi" w:cstheme="minorBidi"/>
                <w:noProof/>
                <w:sz w:val="22"/>
                <w:szCs w:val="22"/>
              </w:rPr>
              <w:tab/>
            </w:r>
            <w:r w:rsidR="005608F1" w:rsidRPr="00944112">
              <w:rPr>
                <w:rStyle w:val="Hyperlink"/>
                <w:noProof/>
              </w:rPr>
              <w:t>Notekūdeņu plūsmas analīze</w:t>
            </w:r>
            <w:r w:rsidR="005608F1">
              <w:rPr>
                <w:noProof/>
                <w:webHidden/>
              </w:rPr>
              <w:tab/>
            </w:r>
            <w:r w:rsidR="005608F1">
              <w:rPr>
                <w:noProof/>
                <w:webHidden/>
              </w:rPr>
              <w:fldChar w:fldCharType="begin"/>
            </w:r>
            <w:r w:rsidR="005608F1">
              <w:rPr>
                <w:noProof/>
                <w:webHidden/>
              </w:rPr>
              <w:instrText xml:space="preserve"> PAGEREF _Toc531780713 \h </w:instrText>
            </w:r>
            <w:r w:rsidR="005608F1">
              <w:rPr>
                <w:noProof/>
                <w:webHidden/>
              </w:rPr>
            </w:r>
            <w:r w:rsidR="005608F1">
              <w:rPr>
                <w:noProof/>
                <w:webHidden/>
              </w:rPr>
              <w:fldChar w:fldCharType="separate"/>
            </w:r>
            <w:r w:rsidR="001306DD">
              <w:rPr>
                <w:noProof/>
                <w:webHidden/>
              </w:rPr>
              <w:t>11</w:t>
            </w:r>
            <w:r w:rsidR="005608F1">
              <w:rPr>
                <w:noProof/>
                <w:webHidden/>
              </w:rPr>
              <w:fldChar w:fldCharType="end"/>
            </w:r>
          </w:hyperlink>
        </w:p>
        <w:p w:rsidR="005608F1" w:rsidRDefault="001B2A9D">
          <w:pPr>
            <w:pStyle w:val="TOC2"/>
            <w:tabs>
              <w:tab w:val="left" w:pos="880"/>
              <w:tab w:val="right" w:leader="dot" w:pos="8681"/>
            </w:tabs>
            <w:rPr>
              <w:rFonts w:asciiTheme="minorHAnsi" w:eastAsiaTheme="minorEastAsia" w:hAnsiTheme="minorHAnsi" w:cstheme="minorBidi"/>
              <w:noProof/>
              <w:sz w:val="22"/>
              <w:szCs w:val="22"/>
            </w:rPr>
          </w:pPr>
          <w:hyperlink w:anchor="_Toc531780714" w:history="1">
            <w:r w:rsidR="005608F1" w:rsidRPr="00944112">
              <w:rPr>
                <w:rStyle w:val="Hyperlink"/>
                <w:noProof/>
              </w:rPr>
              <w:t>1.5</w:t>
            </w:r>
            <w:r w:rsidR="005608F1">
              <w:rPr>
                <w:rFonts w:asciiTheme="minorHAnsi" w:eastAsiaTheme="minorEastAsia" w:hAnsiTheme="minorHAnsi" w:cstheme="minorBidi"/>
                <w:noProof/>
                <w:sz w:val="22"/>
                <w:szCs w:val="22"/>
              </w:rPr>
              <w:tab/>
            </w:r>
            <w:r w:rsidR="005608F1" w:rsidRPr="00944112">
              <w:rPr>
                <w:rStyle w:val="Hyperlink"/>
                <w:noProof/>
              </w:rPr>
              <w:t>BSP</w:t>
            </w:r>
            <w:r w:rsidR="005608F1" w:rsidRPr="00944112">
              <w:rPr>
                <w:rStyle w:val="Hyperlink"/>
                <w:noProof/>
                <w:vertAlign w:val="subscript"/>
              </w:rPr>
              <w:t>5</w:t>
            </w:r>
            <w:r w:rsidR="005608F1" w:rsidRPr="00944112">
              <w:rPr>
                <w:rStyle w:val="Hyperlink"/>
                <w:noProof/>
              </w:rPr>
              <w:t xml:space="preserve"> slodzes analīze</w:t>
            </w:r>
            <w:r w:rsidR="005608F1">
              <w:rPr>
                <w:noProof/>
                <w:webHidden/>
              </w:rPr>
              <w:tab/>
            </w:r>
            <w:r w:rsidR="005608F1">
              <w:rPr>
                <w:noProof/>
                <w:webHidden/>
              </w:rPr>
              <w:fldChar w:fldCharType="begin"/>
            </w:r>
            <w:r w:rsidR="005608F1">
              <w:rPr>
                <w:noProof/>
                <w:webHidden/>
              </w:rPr>
              <w:instrText xml:space="preserve"> PAGEREF _Toc531780714 \h </w:instrText>
            </w:r>
            <w:r w:rsidR="005608F1">
              <w:rPr>
                <w:noProof/>
                <w:webHidden/>
              </w:rPr>
            </w:r>
            <w:r w:rsidR="005608F1">
              <w:rPr>
                <w:noProof/>
                <w:webHidden/>
              </w:rPr>
              <w:fldChar w:fldCharType="separate"/>
            </w:r>
            <w:r w:rsidR="001306DD">
              <w:rPr>
                <w:noProof/>
                <w:webHidden/>
              </w:rPr>
              <w:t>15</w:t>
            </w:r>
            <w:r w:rsidR="005608F1">
              <w:rPr>
                <w:noProof/>
                <w:webHidden/>
              </w:rPr>
              <w:fldChar w:fldCharType="end"/>
            </w:r>
          </w:hyperlink>
        </w:p>
        <w:p w:rsidR="005608F1" w:rsidRDefault="001B2A9D">
          <w:pPr>
            <w:pStyle w:val="TOC2"/>
            <w:tabs>
              <w:tab w:val="left" w:pos="880"/>
              <w:tab w:val="right" w:leader="dot" w:pos="8681"/>
            </w:tabs>
            <w:rPr>
              <w:rFonts w:asciiTheme="minorHAnsi" w:eastAsiaTheme="minorEastAsia" w:hAnsiTheme="minorHAnsi" w:cstheme="minorBidi"/>
              <w:noProof/>
              <w:sz w:val="22"/>
              <w:szCs w:val="22"/>
            </w:rPr>
          </w:pPr>
          <w:hyperlink w:anchor="_Toc531780715" w:history="1">
            <w:r w:rsidR="005608F1" w:rsidRPr="00944112">
              <w:rPr>
                <w:rStyle w:val="Hyperlink"/>
                <w:noProof/>
              </w:rPr>
              <w:t>1.6</w:t>
            </w:r>
            <w:r w:rsidR="005608F1">
              <w:rPr>
                <w:rFonts w:asciiTheme="minorHAnsi" w:eastAsiaTheme="minorEastAsia" w:hAnsiTheme="minorHAnsi" w:cstheme="minorBidi"/>
                <w:noProof/>
                <w:sz w:val="22"/>
                <w:szCs w:val="22"/>
              </w:rPr>
              <w:tab/>
            </w:r>
            <w:r w:rsidR="005608F1" w:rsidRPr="00944112">
              <w:rPr>
                <w:rStyle w:val="Hyperlink"/>
                <w:noProof/>
              </w:rPr>
              <w:t>ĶSP</w:t>
            </w:r>
            <w:r w:rsidR="005608F1" w:rsidRPr="00944112">
              <w:rPr>
                <w:rStyle w:val="Hyperlink"/>
                <w:noProof/>
                <w:vertAlign w:val="subscript"/>
              </w:rPr>
              <w:t>5</w:t>
            </w:r>
            <w:r w:rsidR="005608F1" w:rsidRPr="00944112">
              <w:rPr>
                <w:rStyle w:val="Hyperlink"/>
                <w:noProof/>
              </w:rPr>
              <w:t xml:space="preserve"> slodzes analīze</w:t>
            </w:r>
            <w:r w:rsidR="005608F1">
              <w:rPr>
                <w:noProof/>
                <w:webHidden/>
              </w:rPr>
              <w:tab/>
            </w:r>
            <w:r w:rsidR="005608F1">
              <w:rPr>
                <w:noProof/>
                <w:webHidden/>
              </w:rPr>
              <w:fldChar w:fldCharType="begin"/>
            </w:r>
            <w:r w:rsidR="005608F1">
              <w:rPr>
                <w:noProof/>
                <w:webHidden/>
              </w:rPr>
              <w:instrText xml:space="preserve"> PAGEREF _Toc531780715 \h </w:instrText>
            </w:r>
            <w:r w:rsidR="005608F1">
              <w:rPr>
                <w:noProof/>
                <w:webHidden/>
              </w:rPr>
            </w:r>
            <w:r w:rsidR="005608F1">
              <w:rPr>
                <w:noProof/>
                <w:webHidden/>
              </w:rPr>
              <w:fldChar w:fldCharType="separate"/>
            </w:r>
            <w:r w:rsidR="001306DD">
              <w:rPr>
                <w:noProof/>
                <w:webHidden/>
              </w:rPr>
              <w:t>23</w:t>
            </w:r>
            <w:r w:rsidR="005608F1">
              <w:rPr>
                <w:noProof/>
                <w:webHidden/>
              </w:rPr>
              <w:fldChar w:fldCharType="end"/>
            </w:r>
          </w:hyperlink>
        </w:p>
        <w:p w:rsidR="005608F1" w:rsidRDefault="001B2A9D">
          <w:pPr>
            <w:pStyle w:val="TOC1"/>
            <w:tabs>
              <w:tab w:val="left" w:pos="480"/>
              <w:tab w:val="right" w:leader="dot" w:pos="8681"/>
            </w:tabs>
            <w:rPr>
              <w:rFonts w:asciiTheme="minorHAnsi" w:eastAsiaTheme="minorEastAsia" w:hAnsiTheme="minorHAnsi" w:cstheme="minorBidi"/>
              <w:noProof/>
              <w:sz w:val="22"/>
              <w:szCs w:val="22"/>
            </w:rPr>
          </w:pPr>
          <w:hyperlink w:anchor="_Toc531780716" w:history="1">
            <w:r w:rsidR="005608F1" w:rsidRPr="00944112">
              <w:rPr>
                <w:rStyle w:val="Hyperlink"/>
                <w:noProof/>
              </w:rPr>
              <w:t>2</w:t>
            </w:r>
            <w:r w:rsidR="005608F1">
              <w:rPr>
                <w:rFonts w:asciiTheme="minorHAnsi" w:eastAsiaTheme="minorEastAsia" w:hAnsiTheme="minorHAnsi" w:cstheme="minorBidi"/>
                <w:noProof/>
                <w:sz w:val="22"/>
                <w:szCs w:val="22"/>
              </w:rPr>
              <w:tab/>
            </w:r>
            <w:r w:rsidR="005608F1" w:rsidRPr="00944112">
              <w:rPr>
                <w:rStyle w:val="Hyperlink"/>
                <w:noProof/>
              </w:rPr>
              <w:t>Secinājumi</w:t>
            </w:r>
            <w:r w:rsidR="005608F1">
              <w:rPr>
                <w:noProof/>
                <w:webHidden/>
              </w:rPr>
              <w:tab/>
            </w:r>
            <w:r w:rsidR="005608F1">
              <w:rPr>
                <w:noProof/>
                <w:webHidden/>
              </w:rPr>
              <w:fldChar w:fldCharType="begin"/>
            </w:r>
            <w:r w:rsidR="005608F1">
              <w:rPr>
                <w:noProof/>
                <w:webHidden/>
              </w:rPr>
              <w:instrText xml:space="preserve"> PAGEREF _Toc531780716 \h </w:instrText>
            </w:r>
            <w:r w:rsidR="005608F1">
              <w:rPr>
                <w:noProof/>
                <w:webHidden/>
              </w:rPr>
            </w:r>
            <w:r w:rsidR="005608F1">
              <w:rPr>
                <w:noProof/>
                <w:webHidden/>
              </w:rPr>
              <w:fldChar w:fldCharType="separate"/>
            </w:r>
            <w:r w:rsidR="001306DD">
              <w:rPr>
                <w:noProof/>
                <w:webHidden/>
              </w:rPr>
              <w:t>25</w:t>
            </w:r>
            <w:r w:rsidR="005608F1">
              <w:rPr>
                <w:noProof/>
                <w:webHidden/>
              </w:rPr>
              <w:fldChar w:fldCharType="end"/>
            </w:r>
          </w:hyperlink>
        </w:p>
        <w:p w:rsidR="00270E42" w:rsidRDefault="00270E42">
          <w:r>
            <w:rPr>
              <w:b/>
              <w:bCs/>
              <w:noProof/>
            </w:rPr>
            <w:fldChar w:fldCharType="end"/>
          </w:r>
        </w:p>
      </w:sdtContent>
    </w:sdt>
    <w:p w:rsidR="005608F1" w:rsidRPr="005608F1" w:rsidRDefault="005608F1" w:rsidP="005608F1">
      <w:pPr>
        <w:pStyle w:val="TableofFigures"/>
        <w:tabs>
          <w:tab w:val="right" w:leader="dot" w:pos="8681"/>
        </w:tabs>
        <w:spacing w:after="240"/>
        <w:jc w:val="right"/>
        <w:rPr>
          <w:b/>
          <w:bCs/>
          <w:color w:val="000000"/>
          <w:sz w:val="36"/>
          <w:szCs w:val="20"/>
        </w:rPr>
      </w:pPr>
      <w:r w:rsidRPr="005608F1">
        <w:rPr>
          <w:b/>
          <w:bCs/>
          <w:color w:val="000000"/>
          <w:sz w:val="36"/>
          <w:szCs w:val="20"/>
        </w:rPr>
        <w:t>Tabulu saraksts</w:t>
      </w:r>
    </w:p>
    <w:p w:rsidR="005608F1" w:rsidRDefault="005608F1" w:rsidP="005608F1">
      <w:pPr>
        <w:pStyle w:val="TableofFigures"/>
        <w:tabs>
          <w:tab w:val="right" w:leader="dot" w:pos="8681"/>
        </w:tabs>
        <w:spacing w:after="120"/>
        <w:rPr>
          <w:noProof/>
        </w:rPr>
      </w:pPr>
      <w:r>
        <w:rPr>
          <w:rFonts w:ascii="Arial" w:hAnsi="Arial" w:cs="Arial"/>
          <w:b/>
          <w:bCs/>
          <w:color w:val="000000"/>
          <w:szCs w:val="20"/>
        </w:rPr>
        <w:fldChar w:fldCharType="begin"/>
      </w:r>
      <w:r>
        <w:rPr>
          <w:rFonts w:ascii="Arial" w:hAnsi="Arial" w:cs="Arial"/>
          <w:b/>
          <w:bCs/>
          <w:color w:val="000000"/>
          <w:szCs w:val="20"/>
        </w:rPr>
        <w:instrText xml:space="preserve"> TOC \h \z \c "Tabula" </w:instrText>
      </w:r>
      <w:r>
        <w:rPr>
          <w:rFonts w:ascii="Arial" w:hAnsi="Arial" w:cs="Arial"/>
          <w:b/>
          <w:bCs/>
          <w:color w:val="000000"/>
          <w:szCs w:val="20"/>
        </w:rPr>
        <w:fldChar w:fldCharType="separate"/>
      </w:r>
      <w:hyperlink w:anchor="_Toc531780729" w:history="1">
        <w:r w:rsidRPr="006F1F27">
          <w:rPr>
            <w:rStyle w:val="Hyperlink"/>
            <w:noProof/>
          </w:rPr>
          <w:t>Tabula 1. Centralizētajai kanalizācijas sistēmai pieslēgto iedzīvotāju skaits</w:t>
        </w:r>
        <w:r>
          <w:rPr>
            <w:noProof/>
            <w:webHidden/>
          </w:rPr>
          <w:tab/>
        </w:r>
        <w:r>
          <w:rPr>
            <w:noProof/>
            <w:webHidden/>
          </w:rPr>
          <w:fldChar w:fldCharType="begin"/>
        </w:r>
        <w:r>
          <w:rPr>
            <w:noProof/>
            <w:webHidden/>
          </w:rPr>
          <w:instrText xml:space="preserve"> PAGEREF _Toc531780729 \h </w:instrText>
        </w:r>
        <w:r>
          <w:rPr>
            <w:noProof/>
            <w:webHidden/>
          </w:rPr>
        </w:r>
        <w:r>
          <w:rPr>
            <w:noProof/>
            <w:webHidden/>
          </w:rPr>
          <w:fldChar w:fldCharType="separate"/>
        </w:r>
        <w:r w:rsidR="001306DD">
          <w:rPr>
            <w:noProof/>
            <w:webHidden/>
          </w:rPr>
          <w:t>5</w:t>
        </w:r>
        <w:r>
          <w:rPr>
            <w:noProof/>
            <w:webHidden/>
          </w:rPr>
          <w:fldChar w:fldCharType="end"/>
        </w:r>
      </w:hyperlink>
    </w:p>
    <w:p w:rsidR="005608F1" w:rsidRDefault="001B2A9D" w:rsidP="005608F1">
      <w:pPr>
        <w:pStyle w:val="TableofFigures"/>
        <w:tabs>
          <w:tab w:val="right" w:leader="dot" w:pos="8681"/>
        </w:tabs>
        <w:spacing w:after="120"/>
        <w:rPr>
          <w:noProof/>
        </w:rPr>
      </w:pPr>
      <w:hyperlink w:anchor="_Toc531780730" w:history="1">
        <w:r w:rsidR="005608F1" w:rsidRPr="006F1F27">
          <w:rPr>
            <w:rStyle w:val="Hyperlink"/>
            <w:noProof/>
          </w:rPr>
          <w:t>Tabula 2. Dati par decentralizētās kanalizācijas pakalpojumu apjomu</w:t>
        </w:r>
        <w:r w:rsidR="005608F1">
          <w:rPr>
            <w:noProof/>
            <w:webHidden/>
          </w:rPr>
          <w:tab/>
        </w:r>
        <w:r w:rsidR="005608F1">
          <w:rPr>
            <w:noProof/>
            <w:webHidden/>
          </w:rPr>
          <w:fldChar w:fldCharType="begin"/>
        </w:r>
        <w:r w:rsidR="005608F1">
          <w:rPr>
            <w:noProof/>
            <w:webHidden/>
          </w:rPr>
          <w:instrText xml:space="preserve"> PAGEREF _Toc531780730 \h </w:instrText>
        </w:r>
        <w:r w:rsidR="005608F1">
          <w:rPr>
            <w:noProof/>
            <w:webHidden/>
          </w:rPr>
        </w:r>
        <w:r w:rsidR="005608F1">
          <w:rPr>
            <w:noProof/>
            <w:webHidden/>
          </w:rPr>
          <w:fldChar w:fldCharType="separate"/>
        </w:r>
        <w:r w:rsidR="001306DD">
          <w:rPr>
            <w:noProof/>
            <w:webHidden/>
          </w:rPr>
          <w:t>7</w:t>
        </w:r>
        <w:r w:rsidR="005608F1">
          <w:rPr>
            <w:noProof/>
            <w:webHidden/>
          </w:rPr>
          <w:fldChar w:fldCharType="end"/>
        </w:r>
      </w:hyperlink>
    </w:p>
    <w:p w:rsidR="005608F1" w:rsidRDefault="001B2A9D" w:rsidP="005608F1">
      <w:pPr>
        <w:pStyle w:val="TableofFigures"/>
        <w:tabs>
          <w:tab w:val="right" w:leader="dot" w:pos="8681"/>
        </w:tabs>
        <w:spacing w:after="120"/>
        <w:rPr>
          <w:noProof/>
        </w:rPr>
      </w:pPr>
      <w:hyperlink w:anchor="_Toc531780731" w:history="1">
        <w:r w:rsidR="005608F1" w:rsidRPr="006F1F27">
          <w:rPr>
            <w:rStyle w:val="Hyperlink"/>
            <w:noProof/>
          </w:rPr>
          <w:t>Tabula 3. Faktiskā CE slodze uz 1 cilvēku 2016., 2017. g. un apsekošanas laikā</w:t>
        </w:r>
        <w:r w:rsidR="005608F1">
          <w:rPr>
            <w:noProof/>
            <w:webHidden/>
          </w:rPr>
          <w:tab/>
        </w:r>
        <w:r w:rsidR="005608F1">
          <w:rPr>
            <w:noProof/>
            <w:webHidden/>
          </w:rPr>
          <w:fldChar w:fldCharType="begin"/>
        </w:r>
        <w:r w:rsidR="005608F1">
          <w:rPr>
            <w:noProof/>
            <w:webHidden/>
          </w:rPr>
          <w:instrText xml:space="preserve"> PAGEREF _Toc531780731 \h </w:instrText>
        </w:r>
        <w:r w:rsidR="005608F1">
          <w:rPr>
            <w:noProof/>
            <w:webHidden/>
          </w:rPr>
        </w:r>
        <w:r w:rsidR="005608F1">
          <w:rPr>
            <w:noProof/>
            <w:webHidden/>
          </w:rPr>
          <w:fldChar w:fldCharType="separate"/>
        </w:r>
        <w:r w:rsidR="001306DD">
          <w:rPr>
            <w:noProof/>
            <w:webHidden/>
          </w:rPr>
          <w:t>21</w:t>
        </w:r>
        <w:r w:rsidR="005608F1">
          <w:rPr>
            <w:noProof/>
            <w:webHidden/>
          </w:rPr>
          <w:fldChar w:fldCharType="end"/>
        </w:r>
      </w:hyperlink>
    </w:p>
    <w:p w:rsidR="005F4AA9" w:rsidRDefault="005608F1" w:rsidP="005608F1">
      <w:pPr>
        <w:jc w:val="left"/>
        <w:rPr>
          <w:rFonts w:ascii="Arial" w:hAnsi="Arial" w:cs="Arial"/>
          <w:b/>
          <w:bCs/>
          <w:color w:val="000000"/>
          <w:szCs w:val="20"/>
        </w:rPr>
      </w:pPr>
      <w:r>
        <w:rPr>
          <w:rFonts w:ascii="Arial" w:hAnsi="Arial" w:cs="Arial"/>
          <w:b/>
          <w:bCs/>
          <w:color w:val="000000"/>
          <w:szCs w:val="20"/>
        </w:rPr>
        <w:fldChar w:fldCharType="end"/>
      </w:r>
    </w:p>
    <w:p w:rsidR="005608F1" w:rsidRPr="005608F1" w:rsidRDefault="005608F1" w:rsidP="005608F1">
      <w:pPr>
        <w:pStyle w:val="TableofFigures"/>
        <w:tabs>
          <w:tab w:val="right" w:leader="dot" w:pos="8681"/>
        </w:tabs>
        <w:spacing w:after="240"/>
        <w:jc w:val="right"/>
        <w:rPr>
          <w:b/>
          <w:bCs/>
          <w:color w:val="000000"/>
          <w:sz w:val="36"/>
          <w:szCs w:val="20"/>
        </w:rPr>
      </w:pPr>
      <w:r>
        <w:rPr>
          <w:b/>
          <w:bCs/>
          <w:color w:val="000000"/>
          <w:sz w:val="36"/>
          <w:szCs w:val="20"/>
        </w:rPr>
        <w:t>Grafiku</w:t>
      </w:r>
      <w:r w:rsidRPr="005608F1">
        <w:rPr>
          <w:b/>
          <w:bCs/>
          <w:color w:val="000000"/>
          <w:sz w:val="36"/>
          <w:szCs w:val="20"/>
        </w:rPr>
        <w:t xml:space="preserve"> saraksts</w:t>
      </w:r>
    </w:p>
    <w:p w:rsidR="005608F1" w:rsidRDefault="005608F1" w:rsidP="005608F1">
      <w:pPr>
        <w:pStyle w:val="TableofFigures"/>
        <w:tabs>
          <w:tab w:val="right" w:leader="dot" w:pos="8647"/>
        </w:tabs>
        <w:ind w:left="1134" w:right="611" w:hanging="1134"/>
        <w:rPr>
          <w:rFonts w:asciiTheme="minorHAnsi" w:eastAsiaTheme="minorEastAsia" w:hAnsiTheme="minorHAnsi" w:cstheme="minorBidi"/>
          <w:noProof/>
          <w:sz w:val="22"/>
          <w:szCs w:val="22"/>
        </w:rPr>
      </w:pPr>
      <w:r>
        <w:rPr>
          <w:rFonts w:ascii="Arial" w:hAnsi="Arial" w:cs="Arial"/>
          <w:b/>
          <w:bCs/>
          <w:color w:val="000000"/>
          <w:szCs w:val="20"/>
        </w:rPr>
        <w:fldChar w:fldCharType="begin"/>
      </w:r>
      <w:r>
        <w:rPr>
          <w:rFonts w:ascii="Arial" w:hAnsi="Arial" w:cs="Arial"/>
          <w:b/>
          <w:bCs/>
          <w:color w:val="000000"/>
          <w:szCs w:val="20"/>
        </w:rPr>
        <w:instrText xml:space="preserve"> TOC \h \z \c "Grafiks" </w:instrText>
      </w:r>
      <w:r>
        <w:rPr>
          <w:rFonts w:ascii="Arial" w:hAnsi="Arial" w:cs="Arial"/>
          <w:b/>
          <w:bCs/>
          <w:color w:val="000000"/>
          <w:szCs w:val="20"/>
        </w:rPr>
        <w:fldChar w:fldCharType="separate"/>
      </w:r>
      <w:hyperlink w:anchor="_Toc531780785" w:history="1">
        <w:r w:rsidRPr="005624B1">
          <w:rPr>
            <w:rStyle w:val="Hyperlink"/>
            <w:noProof/>
          </w:rPr>
          <w:t>Grafiks 1. Projektētās un reālās caurplūdes salīdzinājums pētījumā iesaistītajās aglomerācijās (1. daļa)</w:t>
        </w:r>
        <w:r>
          <w:rPr>
            <w:noProof/>
            <w:webHidden/>
          </w:rPr>
          <w:tab/>
        </w:r>
        <w:r>
          <w:rPr>
            <w:noProof/>
            <w:webHidden/>
          </w:rPr>
          <w:fldChar w:fldCharType="begin"/>
        </w:r>
        <w:r>
          <w:rPr>
            <w:noProof/>
            <w:webHidden/>
          </w:rPr>
          <w:instrText xml:space="preserve"> PAGEREF _Toc531780785 \h </w:instrText>
        </w:r>
        <w:r>
          <w:rPr>
            <w:noProof/>
            <w:webHidden/>
          </w:rPr>
        </w:r>
        <w:r>
          <w:rPr>
            <w:noProof/>
            <w:webHidden/>
          </w:rPr>
          <w:fldChar w:fldCharType="separate"/>
        </w:r>
        <w:r w:rsidR="001306DD">
          <w:rPr>
            <w:noProof/>
            <w:webHidden/>
          </w:rPr>
          <w:t>12</w:t>
        </w:r>
        <w:r>
          <w:rPr>
            <w:noProof/>
            <w:webHidden/>
          </w:rPr>
          <w:fldChar w:fldCharType="end"/>
        </w:r>
      </w:hyperlink>
    </w:p>
    <w:p w:rsidR="005608F1" w:rsidRDefault="001B2A9D" w:rsidP="005608F1">
      <w:pPr>
        <w:pStyle w:val="TableofFigures"/>
        <w:tabs>
          <w:tab w:val="right" w:leader="dot" w:pos="8647"/>
        </w:tabs>
        <w:ind w:left="1134" w:right="611" w:hanging="1134"/>
        <w:rPr>
          <w:rFonts w:asciiTheme="minorHAnsi" w:eastAsiaTheme="minorEastAsia" w:hAnsiTheme="minorHAnsi" w:cstheme="minorBidi"/>
          <w:noProof/>
          <w:sz w:val="22"/>
          <w:szCs w:val="22"/>
        </w:rPr>
      </w:pPr>
      <w:hyperlink w:anchor="_Toc531780786" w:history="1">
        <w:r w:rsidR="005608F1" w:rsidRPr="005624B1">
          <w:rPr>
            <w:rStyle w:val="Hyperlink"/>
            <w:noProof/>
          </w:rPr>
          <w:t>Grafiks 2. Projektētās un reālās caurplūdes salīdzinājums pētījumā iesaistītajās aglomerācijās (2. daļa)</w:t>
        </w:r>
        <w:r w:rsidR="005608F1">
          <w:rPr>
            <w:noProof/>
            <w:webHidden/>
          </w:rPr>
          <w:tab/>
        </w:r>
        <w:r w:rsidR="005608F1">
          <w:rPr>
            <w:noProof/>
            <w:webHidden/>
          </w:rPr>
          <w:fldChar w:fldCharType="begin"/>
        </w:r>
        <w:r w:rsidR="005608F1">
          <w:rPr>
            <w:noProof/>
            <w:webHidden/>
          </w:rPr>
          <w:instrText xml:space="preserve"> PAGEREF _Toc531780786 \h </w:instrText>
        </w:r>
        <w:r w:rsidR="005608F1">
          <w:rPr>
            <w:noProof/>
            <w:webHidden/>
          </w:rPr>
        </w:r>
        <w:r w:rsidR="005608F1">
          <w:rPr>
            <w:noProof/>
            <w:webHidden/>
          </w:rPr>
          <w:fldChar w:fldCharType="separate"/>
        </w:r>
        <w:r w:rsidR="001306DD">
          <w:rPr>
            <w:noProof/>
            <w:webHidden/>
          </w:rPr>
          <w:t>12</w:t>
        </w:r>
        <w:r w:rsidR="005608F1">
          <w:rPr>
            <w:noProof/>
            <w:webHidden/>
          </w:rPr>
          <w:fldChar w:fldCharType="end"/>
        </w:r>
      </w:hyperlink>
    </w:p>
    <w:p w:rsidR="005608F1" w:rsidRDefault="001B2A9D" w:rsidP="005608F1">
      <w:pPr>
        <w:pStyle w:val="TableofFigures"/>
        <w:tabs>
          <w:tab w:val="right" w:leader="dot" w:pos="8647"/>
        </w:tabs>
        <w:ind w:left="1134" w:right="611" w:hanging="1134"/>
        <w:rPr>
          <w:rFonts w:asciiTheme="minorHAnsi" w:eastAsiaTheme="minorEastAsia" w:hAnsiTheme="minorHAnsi" w:cstheme="minorBidi"/>
          <w:noProof/>
          <w:sz w:val="22"/>
          <w:szCs w:val="22"/>
        </w:rPr>
      </w:pPr>
      <w:hyperlink w:anchor="_Toc531780787" w:history="1">
        <w:r w:rsidR="005608F1" w:rsidRPr="005624B1">
          <w:rPr>
            <w:rStyle w:val="Hyperlink"/>
            <w:noProof/>
          </w:rPr>
          <w:t>Grafiks 3. Projektētās un reālās caurplūdes salīdzinājums pētījumā iesaistītajās aglomerācijās (3. daļa)</w:t>
        </w:r>
        <w:r w:rsidR="005608F1">
          <w:rPr>
            <w:noProof/>
            <w:webHidden/>
          </w:rPr>
          <w:tab/>
        </w:r>
        <w:r w:rsidR="005608F1">
          <w:rPr>
            <w:noProof/>
            <w:webHidden/>
          </w:rPr>
          <w:fldChar w:fldCharType="begin"/>
        </w:r>
        <w:r w:rsidR="005608F1">
          <w:rPr>
            <w:noProof/>
            <w:webHidden/>
          </w:rPr>
          <w:instrText xml:space="preserve"> PAGEREF _Toc531780787 \h </w:instrText>
        </w:r>
        <w:r w:rsidR="005608F1">
          <w:rPr>
            <w:noProof/>
            <w:webHidden/>
          </w:rPr>
        </w:r>
        <w:r w:rsidR="005608F1">
          <w:rPr>
            <w:noProof/>
            <w:webHidden/>
          </w:rPr>
          <w:fldChar w:fldCharType="separate"/>
        </w:r>
        <w:r w:rsidR="001306DD">
          <w:rPr>
            <w:noProof/>
            <w:webHidden/>
          </w:rPr>
          <w:t>13</w:t>
        </w:r>
        <w:r w:rsidR="005608F1">
          <w:rPr>
            <w:noProof/>
            <w:webHidden/>
          </w:rPr>
          <w:fldChar w:fldCharType="end"/>
        </w:r>
      </w:hyperlink>
    </w:p>
    <w:p w:rsidR="005608F1" w:rsidRDefault="001B2A9D" w:rsidP="005608F1">
      <w:pPr>
        <w:pStyle w:val="TableofFigures"/>
        <w:tabs>
          <w:tab w:val="right" w:leader="dot" w:pos="8647"/>
        </w:tabs>
        <w:ind w:left="1134" w:right="611" w:hanging="1134"/>
        <w:rPr>
          <w:rFonts w:asciiTheme="minorHAnsi" w:eastAsiaTheme="minorEastAsia" w:hAnsiTheme="minorHAnsi" w:cstheme="minorBidi"/>
          <w:noProof/>
          <w:sz w:val="22"/>
          <w:szCs w:val="22"/>
        </w:rPr>
      </w:pPr>
      <w:hyperlink w:anchor="_Toc531780788" w:history="1">
        <w:r w:rsidR="005608F1" w:rsidRPr="005624B1">
          <w:rPr>
            <w:rStyle w:val="Hyperlink"/>
            <w:noProof/>
          </w:rPr>
          <w:t>Grafiks 4. Projektētās un reālās caurplūdes uz 1 pieslēgtu cilvēku salīdzinājums pētījumā iesaistītajās aglomerācijās (1. daļa)</w:t>
        </w:r>
        <w:r w:rsidR="005608F1">
          <w:rPr>
            <w:noProof/>
            <w:webHidden/>
          </w:rPr>
          <w:tab/>
        </w:r>
        <w:r w:rsidR="005608F1">
          <w:rPr>
            <w:noProof/>
            <w:webHidden/>
          </w:rPr>
          <w:fldChar w:fldCharType="begin"/>
        </w:r>
        <w:r w:rsidR="005608F1">
          <w:rPr>
            <w:noProof/>
            <w:webHidden/>
          </w:rPr>
          <w:instrText xml:space="preserve"> PAGEREF _Toc531780788 \h </w:instrText>
        </w:r>
        <w:r w:rsidR="005608F1">
          <w:rPr>
            <w:noProof/>
            <w:webHidden/>
          </w:rPr>
        </w:r>
        <w:r w:rsidR="005608F1">
          <w:rPr>
            <w:noProof/>
            <w:webHidden/>
          </w:rPr>
          <w:fldChar w:fldCharType="separate"/>
        </w:r>
        <w:r w:rsidR="001306DD">
          <w:rPr>
            <w:noProof/>
            <w:webHidden/>
          </w:rPr>
          <w:t>14</w:t>
        </w:r>
        <w:r w:rsidR="005608F1">
          <w:rPr>
            <w:noProof/>
            <w:webHidden/>
          </w:rPr>
          <w:fldChar w:fldCharType="end"/>
        </w:r>
      </w:hyperlink>
    </w:p>
    <w:p w:rsidR="005608F1" w:rsidRDefault="001B2A9D" w:rsidP="005608F1">
      <w:pPr>
        <w:pStyle w:val="TableofFigures"/>
        <w:tabs>
          <w:tab w:val="right" w:leader="dot" w:pos="8647"/>
        </w:tabs>
        <w:ind w:left="1134" w:right="611" w:hanging="1134"/>
        <w:rPr>
          <w:rFonts w:asciiTheme="minorHAnsi" w:eastAsiaTheme="minorEastAsia" w:hAnsiTheme="minorHAnsi" w:cstheme="minorBidi"/>
          <w:noProof/>
          <w:sz w:val="22"/>
          <w:szCs w:val="22"/>
        </w:rPr>
      </w:pPr>
      <w:hyperlink w:anchor="_Toc531780789" w:history="1">
        <w:r w:rsidR="005608F1" w:rsidRPr="005624B1">
          <w:rPr>
            <w:rStyle w:val="Hyperlink"/>
            <w:noProof/>
          </w:rPr>
          <w:t>Grafiks 5. Projektētās un reālās caurplūdes uz 1 pieslēgtu cilvēku salīdzinājums pētījumā iesaistītajās aglomerācijās (2. daļa)</w:t>
        </w:r>
        <w:r w:rsidR="005608F1">
          <w:rPr>
            <w:noProof/>
            <w:webHidden/>
          </w:rPr>
          <w:tab/>
        </w:r>
        <w:r w:rsidR="005608F1">
          <w:rPr>
            <w:noProof/>
            <w:webHidden/>
          </w:rPr>
          <w:fldChar w:fldCharType="begin"/>
        </w:r>
        <w:r w:rsidR="005608F1">
          <w:rPr>
            <w:noProof/>
            <w:webHidden/>
          </w:rPr>
          <w:instrText xml:space="preserve"> PAGEREF _Toc531780789 \h </w:instrText>
        </w:r>
        <w:r w:rsidR="005608F1">
          <w:rPr>
            <w:noProof/>
            <w:webHidden/>
          </w:rPr>
        </w:r>
        <w:r w:rsidR="005608F1">
          <w:rPr>
            <w:noProof/>
            <w:webHidden/>
          </w:rPr>
          <w:fldChar w:fldCharType="separate"/>
        </w:r>
        <w:r w:rsidR="001306DD">
          <w:rPr>
            <w:noProof/>
            <w:webHidden/>
          </w:rPr>
          <w:t>14</w:t>
        </w:r>
        <w:r w:rsidR="005608F1">
          <w:rPr>
            <w:noProof/>
            <w:webHidden/>
          </w:rPr>
          <w:fldChar w:fldCharType="end"/>
        </w:r>
      </w:hyperlink>
    </w:p>
    <w:p w:rsidR="005608F1" w:rsidRDefault="001B2A9D" w:rsidP="005608F1">
      <w:pPr>
        <w:pStyle w:val="TableofFigures"/>
        <w:tabs>
          <w:tab w:val="right" w:leader="dot" w:pos="8647"/>
        </w:tabs>
        <w:ind w:left="1134" w:right="611" w:hanging="1134"/>
        <w:rPr>
          <w:rFonts w:asciiTheme="minorHAnsi" w:eastAsiaTheme="minorEastAsia" w:hAnsiTheme="minorHAnsi" w:cstheme="minorBidi"/>
          <w:noProof/>
          <w:sz w:val="22"/>
          <w:szCs w:val="22"/>
        </w:rPr>
      </w:pPr>
      <w:hyperlink w:anchor="_Toc531780790" w:history="1">
        <w:r w:rsidR="005608F1" w:rsidRPr="005624B1">
          <w:rPr>
            <w:rStyle w:val="Hyperlink"/>
            <w:noProof/>
          </w:rPr>
          <w:t>Grafiks 6. Projektētās un reālās caurplūdes uz 1 pieslēgtu cilvēku salīdzinājums pētījumā iesaistītajās aglomerācijās (3. daļa)</w:t>
        </w:r>
        <w:r w:rsidR="005608F1">
          <w:rPr>
            <w:noProof/>
            <w:webHidden/>
          </w:rPr>
          <w:tab/>
        </w:r>
        <w:r w:rsidR="005608F1">
          <w:rPr>
            <w:noProof/>
            <w:webHidden/>
          </w:rPr>
          <w:fldChar w:fldCharType="begin"/>
        </w:r>
        <w:r w:rsidR="005608F1">
          <w:rPr>
            <w:noProof/>
            <w:webHidden/>
          </w:rPr>
          <w:instrText xml:space="preserve"> PAGEREF _Toc531780790 \h </w:instrText>
        </w:r>
        <w:r w:rsidR="005608F1">
          <w:rPr>
            <w:noProof/>
            <w:webHidden/>
          </w:rPr>
        </w:r>
        <w:r w:rsidR="005608F1">
          <w:rPr>
            <w:noProof/>
            <w:webHidden/>
          </w:rPr>
          <w:fldChar w:fldCharType="separate"/>
        </w:r>
        <w:r w:rsidR="001306DD">
          <w:rPr>
            <w:noProof/>
            <w:webHidden/>
          </w:rPr>
          <w:t>15</w:t>
        </w:r>
        <w:r w:rsidR="005608F1">
          <w:rPr>
            <w:noProof/>
            <w:webHidden/>
          </w:rPr>
          <w:fldChar w:fldCharType="end"/>
        </w:r>
      </w:hyperlink>
    </w:p>
    <w:p w:rsidR="005608F1" w:rsidRDefault="001B2A9D" w:rsidP="005608F1">
      <w:pPr>
        <w:pStyle w:val="TableofFigures"/>
        <w:tabs>
          <w:tab w:val="right" w:leader="dot" w:pos="8647"/>
        </w:tabs>
        <w:ind w:left="1134" w:right="611" w:hanging="1134"/>
        <w:rPr>
          <w:rFonts w:asciiTheme="minorHAnsi" w:eastAsiaTheme="minorEastAsia" w:hAnsiTheme="minorHAnsi" w:cstheme="minorBidi"/>
          <w:noProof/>
          <w:sz w:val="22"/>
          <w:szCs w:val="22"/>
        </w:rPr>
      </w:pPr>
      <w:hyperlink w:anchor="_Toc531780791" w:history="1">
        <w:r w:rsidR="005608F1" w:rsidRPr="005624B1">
          <w:rPr>
            <w:rStyle w:val="Hyperlink"/>
            <w:noProof/>
          </w:rPr>
          <w:t>Grafiks 7. Projektētās un reālās BSP5 slodzes (izteikta CE) salīdzinājums pētījumā iesaistītajās aglomerācijās (1. daļa)</w:t>
        </w:r>
        <w:r w:rsidR="005608F1">
          <w:rPr>
            <w:noProof/>
            <w:webHidden/>
          </w:rPr>
          <w:tab/>
        </w:r>
        <w:r w:rsidR="005608F1">
          <w:rPr>
            <w:noProof/>
            <w:webHidden/>
          </w:rPr>
          <w:fldChar w:fldCharType="begin"/>
        </w:r>
        <w:r w:rsidR="005608F1">
          <w:rPr>
            <w:noProof/>
            <w:webHidden/>
          </w:rPr>
          <w:instrText xml:space="preserve"> PAGEREF _Toc531780791 \h </w:instrText>
        </w:r>
        <w:r w:rsidR="005608F1">
          <w:rPr>
            <w:noProof/>
            <w:webHidden/>
          </w:rPr>
        </w:r>
        <w:r w:rsidR="005608F1">
          <w:rPr>
            <w:noProof/>
            <w:webHidden/>
          </w:rPr>
          <w:fldChar w:fldCharType="separate"/>
        </w:r>
        <w:r w:rsidR="001306DD">
          <w:rPr>
            <w:noProof/>
            <w:webHidden/>
          </w:rPr>
          <w:t>16</w:t>
        </w:r>
        <w:r w:rsidR="005608F1">
          <w:rPr>
            <w:noProof/>
            <w:webHidden/>
          </w:rPr>
          <w:fldChar w:fldCharType="end"/>
        </w:r>
      </w:hyperlink>
    </w:p>
    <w:p w:rsidR="005608F1" w:rsidRDefault="001B2A9D" w:rsidP="005608F1">
      <w:pPr>
        <w:pStyle w:val="TableofFigures"/>
        <w:tabs>
          <w:tab w:val="right" w:leader="dot" w:pos="8647"/>
        </w:tabs>
        <w:ind w:left="1134" w:right="611" w:hanging="1134"/>
        <w:rPr>
          <w:rFonts w:asciiTheme="minorHAnsi" w:eastAsiaTheme="minorEastAsia" w:hAnsiTheme="minorHAnsi" w:cstheme="minorBidi"/>
          <w:noProof/>
          <w:sz w:val="22"/>
          <w:szCs w:val="22"/>
        </w:rPr>
      </w:pPr>
      <w:hyperlink w:anchor="_Toc531780792" w:history="1">
        <w:r w:rsidR="005608F1" w:rsidRPr="005624B1">
          <w:rPr>
            <w:rStyle w:val="Hyperlink"/>
            <w:noProof/>
          </w:rPr>
          <w:t>Grafiks 8. Projektētās un reālās BSP5 slodzes (izteikta CE) salīdzinājums pētījumā iesaistītajās aglomerācijās (2. daļa)</w:t>
        </w:r>
        <w:r w:rsidR="005608F1">
          <w:rPr>
            <w:noProof/>
            <w:webHidden/>
          </w:rPr>
          <w:tab/>
        </w:r>
        <w:r w:rsidR="005608F1">
          <w:rPr>
            <w:noProof/>
            <w:webHidden/>
          </w:rPr>
          <w:fldChar w:fldCharType="begin"/>
        </w:r>
        <w:r w:rsidR="005608F1">
          <w:rPr>
            <w:noProof/>
            <w:webHidden/>
          </w:rPr>
          <w:instrText xml:space="preserve"> PAGEREF _Toc531780792 \h </w:instrText>
        </w:r>
        <w:r w:rsidR="005608F1">
          <w:rPr>
            <w:noProof/>
            <w:webHidden/>
          </w:rPr>
        </w:r>
        <w:r w:rsidR="005608F1">
          <w:rPr>
            <w:noProof/>
            <w:webHidden/>
          </w:rPr>
          <w:fldChar w:fldCharType="separate"/>
        </w:r>
        <w:r w:rsidR="001306DD">
          <w:rPr>
            <w:noProof/>
            <w:webHidden/>
          </w:rPr>
          <w:t>17</w:t>
        </w:r>
        <w:r w:rsidR="005608F1">
          <w:rPr>
            <w:noProof/>
            <w:webHidden/>
          </w:rPr>
          <w:fldChar w:fldCharType="end"/>
        </w:r>
      </w:hyperlink>
    </w:p>
    <w:p w:rsidR="005608F1" w:rsidRDefault="001B2A9D" w:rsidP="005608F1">
      <w:pPr>
        <w:pStyle w:val="TableofFigures"/>
        <w:tabs>
          <w:tab w:val="right" w:leader="dot" w:pos="8647"/>
        </w:tabs>
        <w:ind w:left="1134" w:right="611" w:hanging="1134"/>
        <w:rPr>
          <w:rFonts w:asciiTheme="minorHAnsi" w:eastAsiaTheme="minorEastAsia" w:hAnsiTheme="minorHAnsi" w:cstheme="minorBidi"/>
          <w:noProof/>
          <w:sz w:val="22"/>
          <w:szCs w:val="22"/>
        </w:rPr>
      </w:pPr>
      <w:hyperlink w:anchor="_Toc531780793" w:history="1">
        <w:r w:rsidR="005608F1" w:rsidRPr="005624B1">
          <w:rPr>
            <w:rStyle w:val="Hyperlink"/>
            <w:noProof/>
          </w:rPr>
          <w:t>Grafiks 9. Projektētās un reālās BSP5 slodzes (izteikta CE) salīdzinājums pētījumā iesaistītajās aglomerācijās (3. daļa)</w:t>
        </w:r>
        <w:r w:rsidR="005608F1">
          <w:rPr>
            <w:noProof/>
            <w:webHidden/>
          </w:rPr>
          <w:tab/>
        </w:r>
        <w:r w:rsidR="005608F1">
          <w:rPr>
            <w:noProof/>
            <w:webHidden/>
          </w:rPr>
          <w:fldChar w:fldCharType="begin"/>
        </w:r>
        <w:r w:rsidR="005608F1">
          <w:rPr>
            <w:noProof/>
            <w:webHidden/>
          </w:rPr>
          <w:instrText xml:space="preserve"> PAGEREF _Toc531780793 \h </w:instrText>
        </w:r>
        <w:r w:rsidR="005608F1">
          <w:rPr>
            <w:noProof/>
            <w:webHidden/>
          </w:rPr>
        </w:r>
        <w:r w:rsidR="005608F1">
          <w:rPr>
            <w:noProof/>
            <w:webHidden/>
          </w:rPr>
          <w:fldChar w:fldCharType="separate"/>
        </w:r>
        <w:r w:rsidR="001306DD">
          <w:rPr>
            <w:noProof/>
            <w:webHidden/>
          </w:rPr>
          <w:t>17</w:t>
        </w:r>
        <w:r w:rsidR="005608F1">
          <w:rPr>
            <w:noProof/>
            <w:webHidden/>
          </w:rPr>
          <w:fldChar w:fldCharType="end"/>
        </w:r>
      </w:hyperlink>
    </w:p>
    <w:p w:rsidR="005608F1" w:rsidRDefault="001B2A9D" w:rsidP="005608F1">
      <w:pPr>
        <w:pStyle w:val="TableofFigures"/>
        <w:tabs>
          <w:tab w:val="right" w:leader="dot" w:pos="8647"/>
        </w:tabs>
        <w:ind w:left="1134" w:right="611" w:hanging="1134"/>
        <w:rPr>
          <w:rFonts w:asciiTheme="minorHAnsi" w:eastAsiaTheme="minorEastAsia" w:hAnsiTheme="minorHAnsi" w:cstheme="minorBidi"/>
          <w:noProof/>
          <w:sz w:val="22"/>
          <w:szCs w:val="22"/>
        </w:rPr>
      </w:pPr>
      <w:hyperlink w:anchor="_Toc531780794" w:history="1">
        <w:r w:rsidR="005608F1" w:rsidRPr="005624B1">
          <w:rPr>
            <w:rStyle w:val="Hyperlink"/>
            <w:noProof/>
          </w:rPr>
          <w:t>Grafiks 10. Projektētās un reālās BSP5 slodzes (izteiktas CE) uz 1 pieslēgtu cilvēku salīdzinājums pētījumā iesaistītajās aglomerācijās (1. daļa)</w:t>
        </w:r>
        <w:r w:rsidR="005608F1">
          <w:rPr>
            <w:noProof/>
            <w:webHidden/>
          </w:rPr>
          <w:tab/>
        </w:r>
        <w:r w:rsidR="005608F1">
          <w:rPr>
            <w:noProof/>
            <w:webHidden/>
          </w:rPr>
          <w:fldChar w:fldCharType="begin"/>
        </w:r>
        <w:r w:rsidR="005608F1">
          <w:rPr>
            <w:noProof/>
            <w:webHidden/>
          </w:rPr>
          <w:instrText xml:space="preserve"> PAGEREF _Toc531780794 \h </w:instrText>
        </w:r>
        <w:r w:rsidR="005608F1">
          <w:rPr>
            <w:noProof/>
            <w:webHidden/>
          </w:rPr>
        </w:r>
        <w:r w:rsidR="005608F1">
          <w:rPr>
            <w:noProof/>
            <w:webHidden/>
          </w:rPr>
          <w:fldChar w:fldCharType="separate"/>
        </w:r>
        <w:r w:rsidR="001306DD">
          <w:rPr>
            <w:noProof/>
            <w:webHidden/>
          </w:rPr>
          <w:t>19</w:t>
        </w:r>
        <w:r w:rsidR="005608F1">
          <w:rPr>
            <w:noProof/>
            <w:webHidden/>
          </w:rPr>
          <w:fldChar w:fldCharType="end"/>
        </w:r>
      </w:hyperlink>
    </w:p>
    <w:p w:rsidR="005608F1" w:rsidRDefault="001B2A9D" w:rsidP="005608F1">
      <w:pPr>
        <w:pStyle w:val="TableofFigures"/>
        <w:tabs>
          <w:tab w:val="right" w:leader="dot" w:pos="8647"/>
        </w:tabs>
        <w:ind w:left="1134" w:right="611" w:hanging="1134"/>
        <w:rPr>
          <w:rFonts w:asciiTheme="minorHAnsi" w:eastAsiaTheme="minorEastAsia" w:hAnsiTheme="minorHAnsi" w:cstheme="minorBidi"/>
          <w:noProof/>
          <w:sz w:val="22"/>
          <w:szCs w:val="22"/>
        </w:rPr>
      </w:pPr>
      <w:hyperlink w:anchor="_Toc531780795" w:history="1">
        <w:r w:rsidR="005608F1" w:rsidRPr="005624B1">
          <w:rPr>
            <w:rStyle w:val="Hyperlink"/>
            <w:noProof/>
          </w:rPr>
          <w:t>Grafiks 11. Projektētās un reālās BSP5 slodzes (izteiktas CE) uz 1 pieslēgtu cilvēku salīdzinājums pētījumā iesaistītajās aglomerācijās (2. daļa)</w:t>
        </w:r>
        <w:r w:rsidR="005608F1">
          <w:rPr>
            <w:noProof/>
            <w:webHidden/>
          </w:rPr>
          <w:tab/>
        </w:r>
        <w:r w:rsidR="005608F1">
          <w:rPr>
            <w:noProof/>
            <w:webHidden/>
          </w:rPr>
          <w:fldChar w:fldCharType="begin"/>
        </w:r>
        <w:r w:rsidR="005608F1">
          <w:rPr>
            <w:noProof/>
            <w:webHidden/>
          </w:rPr>
          <w:instrText xml:space="preserve"> PAGEREF _Toc531780795 \h </w:instrText>
        </w:r>
        <w:r w:rsidR="005608F1">
          <w:rPr>
            <w:noProof/>
            <w:webHidden/>
          </w:rPr>
        </w:r>
        <w:r w:rsidR="005608F1">
          <w:rPr>
            <w:noProof/>
            <w:webHidden/>
          </w:rPr>
          <w:fldChar w:fldCharType="separate"/>
        </w:r>
        <w:r w:rsidR="001306DD">
          <w:rPr>
            <w:noProof/>
            <w:webHidden/>
          </w:rPr>
          <w:t>20</w:t>
        </w:r>
        <w:r w:rsidR="005608F1">
          <w:rPr>
            <w:noProof/>
            <w:webHidden/>
          </w:rPr>
          <w:fldChar w:fldCharType="end"/>
        </w:r>
      </w:hyperlink>
    </w:p>
    <w:p w:rsidR="005608F1" w:rsidRDefault="001B2A9D" w:rsidP="005608F1">
      <w:pPr>
        <w:pStyle w:val="TableofFigures"/>
        <w:tabs>
          <w:tab w:val="right" w:leader="dot" w:pos="8647"/>
        </w:tabs>
        <w:ind w:left="1134" w:right="611" w:hanging="1134"/>
        <w:rPr>
          <w:rFonts w:asciiTheme="minorHAnsi" w:eastAsiaTheme="minorEastAsia" w:hAnsiTheme="minorHAnsi" w:cstheme="minorBidi"/>
          <w:noProof/>
          <w:sz w:val="22"/>
          <w:szCs w:val="22"/>
        </w:rPr>
      </w:pPr>
      <w:hyperlink w:anchor="_Toc531780796" w:history="1">
        <w:r w:rsidR="005608F1" w:rsidRPr="005624B1">
          <w:rPr>
            <w:rStyle w:val="Hyperlink"/>
            <w:noProof/>
          </w:rPr>
          <w:t>Grafiks 12. Projektētās un reālās BSP5 slodzes (izteiktas CE) uz 1 pieslēgtu cilvēku salīdzinājums pētījumā iesaistītajās aglomerācijās (3. daļa)</w:t>
        </w:r>
        <w:r w:rsidR="005608F1">
          <w:rPr>
            <w:noProof/>
            <w:webHidden/>
          </w:rPr>
          <w:tab/>
        </w:r>
        <w:r w:rsidR="005608F1">
          <w:rPr>
            <w:noProof/>
            <w:webHidden/>
          </w:rPr>
          <w:fldChar w:fldCharType="begin"/>
        </w:r>
        <w:r w:rsidR="005608F1">
          <w:rPr>
            <w:noProof/>
            <w:webHidden/>
          </w:rPr>
          <w:instrText xml:space="preserve"> PAGEREF _Toc531780796 \h </w:instrText>
        </w:r>
        <w:r w:rsidR="005608F1">
          <w:rPr>
            <w:noProof/>
            <w:webHidden/>
          </w:rPr>
        </w:r>
        <w:r w:rsidR="005608F1">
          <w:rPr>
            <w:noProof/>
            <w:webHidden/>
          </w:rPr>
          <w:fldChar w:fldCharType="separate"/>
        </w:r>
        <w:r w:rsidR="001306DD">
          <w:rPr>
            <w:noProof/>
            <w:webHidden/>
          </w:rPr>
          <w:t>20</w:t>
        </w:r>
        <w:r w:rsidR="005608F1">
          <w:rPr>
            <w:noProof/>
            <w:webHidden/>
          </w:rPr>
          <w:fldChar w:fldCharType="end"/>
        </w:r>
      </w:hyperlink>
    </w:p>
    <w:p w:rsidR="005608F1" w:rsidRDefault="001B2A9D" w:rsidP="005608F1">
      <w:pPr>
        <w:pStyle w:val="TableofFigures"/>
        <w:tabs>
          <w:tab w:val="right" w:leader="dot" w:pos="8647"/>
        </w:tabs>
        <w:ind w:left="1134" w:right="611" w:hanging="1134"/>
        <w:rPr>
          <w:rFonts w:asciiTheme="minorHAnsi" w:eastAsiaTheme="minorEastAsia" w:hAnsiTheme="minorHAnsi" w:cstheme="minorBidi"/>
          <w:noProof/>
          <w:sz w:val="22"/>
          <w:szCs w:val="22"/>
        </w:rPr>
      </w:pPr>
      <w:hyperlink w:anchor="_Toc531780797" w:history="1">
        <w:r w:rsidR="005608F1" w:rsidRPr="005624B1">
          <w:rPr>
            <w:rStyle w:val="Hyperlink"/>
            <w:noProof/>
          </w:rPr>
          <w:t>Grafiks 13. Viena cilvēka radītās BSP</w:t>
        </w:r>
        <w:r w:rsidR="005608F1" w:rsidRPr="005624B1">
          <w:rPr>
            <w:rStyle w:val="Hyperlink"/>
            <w:noProof/>
            <w:vertAlign w:val="subscript"/>
          </w:rPr>
          <w:t>5</w:t>
        </w:r>
        <w:r w:rsidR="005608F1" w:rsidRPr="005624B1">
          <w:rPr>
            <w:rStyle w:val="Hyperlink"/>
            <w:noProof/>
          </w:rPr>
          <w:t xml:space="preserve"> slodzes (izteiktas CE) vērtību sadalījums  2016. g.</w:t>
        </w:r>
        <w:r w:rsidR="005608F1">
          <w:rPr>
            <w:noProof/>
            <w:webHidden/>
          </w:rPr>
          <w:tab/>
        </w:r>
        <w:r w:rsidR="005608F1">
          <w:rPr>
            <w:noProof/>
            <w:webHidden/>
          </w:rPr>
          <w:fldChar w:fldCharType="begin"/>
        </w:r>
        <w:r w:rsidR="005608F1">
          <w:rPr>
            <w:noProof/>
            <w:webHidden/>
          </w:rPr>
          <w:instrText xml:space="preserve"> PAGEREF _Toc531780797 \h </w:instrText>
        </w:r>
        <w:r w:rsidR="005608F1">
          <w:rPr>
            <w:noProof/>
            <w:webHidden/>
          </w:rPr>
        </w:r>
        <w:r w:rsidR="005608F1">
          <w:rPr>
            <w:noProof/>
            <w:webHidden/>
          </w:rPr>
          <w:fldChar w:fldCharType="separate"/>
        </w:r>
        <w:r w:rsidR="001306DD">
          <w:rPr>
            <w:noProof/>
            <w:webHidden/>
          </w:rPr>
          <w:t>22</w:t>
        </w:r>
        <w:r w:rsidR="005608F1">
          <w:rPr>
            <w:noProof/>
            <w:webHidden/>
          </w:rPr>
          <w:fldChar w:fldCharType="end"/>
        </w:r>
      </w:hyperlink>
    </w:p>
    <w:p w:rsidR="005608F1" w:rsidRDefault="001B2A9D" w:rsidP="005608F1">
      <w:pPr>
        <w:pStyle w:val="TableofFigures"/>
        <w:tabs>
          <w:tab w:val="right" w:leader="dot" w:pos="8647"/>
        </w:tabs>
        <w:ind w:left="1134" w:right="611" w:hanging="1134"/>
        <w:rPr>
          <w:rFonts w:asciiTheme="minorHAnsi" w:eastAsiaTheme="minorEastAsia" w:hAnsiTheme="minorHAnsi" w:cstheme="minorBidi"/>
          <w:noProof/>
          <w:sz w:val="22"/>
          <w:szCs w:val="22"/>
        </w:rPr>
      </w:pPr>
      <w:hyperlink w:anchor="_Toc531780798" w:history="1">
        <w:r w:rsidR="005608F1" w:rsidRPr="005624B1">
          <w:rPr>
            <w:rStyle w:val="Hyperlink"/>
            <w:noProof/>
          </w:rPr>
          <w:t>Grafiks 14. Viena cilvēka radītās BSP</w:t>
        </w:r>
        <w:r w:rsidR="005608F1" w:rsidRPr="005624B1">
          <w:rPr>
            <w:rStyle w:val="Hyperlink"/>
            <w:noProof/>
            <w:vertAlign w:val="subscript"/>
          </w:rPr>
          <w:t>5</w:t>
        </w:r>
        <w:r w:rsidR="005608F1" w:rsidRPr="005624B1">
          <w:rPr>
            <w:rStyle w:val="Hyperlink"/>
            <w:noProof/>
          </w:rPr>
          <w:t xml:space="preserve"> slodzes (izteiktas CE) vērtību sadalījums  2017. g.</w:t>
        </w:r>
        <w:r w:rsidR="005608F1">
          <w:rPr>
            <w:noProof/>
            <w:webHidden/>
          </w:rPr>
          <w:tab/>
        </w:r>
        <w:r w:rsidR="005608F1">
          <w:rPr>
            <w:noProof/>
            <w:webHidden/>
          </w:rPr>
          <w:fldChar w:fldCharType="begin"/>
        </w:r>
        <w:r w:rsidR="005608F1">
          <w:rPr>
            <w:noProof/>
            <w:webHidden/>
          </w:rPr>
          <w:instrText xml:space="preserve"> PAGEREF _Toc531780798 \h </w:instrText>
        </w:r>
        <w:r w:rsidR="005608F1">
          <w:rPr>
            <w:noProof/>
            <w:webHidden/>
          </w:rPr>
        </w:r>
        <w:r w:rsidR="005608F1">
          <w:rPr>
            <w:noProof/>
            <w:webHidden/>
          </w:rPr>
          <w:fldChar w:fldCharType="separate"/>
        </w:r>
        <w:r w:rsidR="001306DD">
          <w:rPr>
            <w:noProof/>
            <w:webHidden/>
          </w:rPr>
          <w:t>22</w:t>
        </w:r>
        <w:r w:rsidR="005608F1">
          <w:rPr>
            <w:noProof/>
            <w:webHidden/>
          </w:rPr>
          <w:fldChar w:fldCharType="end"/>
        </w:r>
      </w:hyperlink>
    </w:p>
    <w:p w:rsidR="005608F1" w:rsidRDefault="001B2A9D" w:rsidP="005608F1">
      <w:pPr>
        <w:pStyle w:val="TableofFigures"/>
        <w:tabs>
          <w:tab w:val="right" w:leader="dot" w:pos="8647"/>
        </w:tabs>
        <w:ind w:left="1134" w:right="611" w:hanging="1134"/>
        <w:rPr>
          <w:rFonts w:asciiTheme="minorHAnsi" w:eastAsiaTheme="minorEastAsia" w:hAnsiTheme="minorHAnsi" w:cstheme="minorBidi"/>
          <w:noProof/>
          <w:sz w:val="22"/>
          <w:szCs w:val="22"/>
        </w:rPr>
      </w:pPr>
      <w:hyperlink w:anchor="_Toc531780799" w:history="1">
        <w:r w:rsidR="005608F1" w:rsidRPr="005624B1">
          <w:rPr>
            <w:rStyle w:val="Hyperlink"/>
            <w:noProof/>
          </w:rPr>
          <w:t>Grafiks 15. Viena cilvēka radītās BSP</w:t>
        </w:r>
        <w:r w:rsidR="005608F1" w:rsidRPr="005624B1">
          <w:rPr>
            <w:rStyle w:val="Hyperlink"/>
            <w:noProof/>
            <w:vertAlign w:val="subscript"/>
          </w:rPr>
          <w:t>5</w:t>
        </w:r>
        <w:r w:rsidR="005608F1" w:rsidRPr="005624B1">
          <w:rPr>
            <w:rStyle w:val="Hyperlink"/>
            <w:noProof/>
          </w:rPr>
          <w:t xml:space="preserve"> slodzes (izteiktas CE) vērtību sadalījums  2018. g. (apsekošanas laikā)</w:t>
        </w:r>
        <w:r w:rsidR="005608F1">
          <w:rPr>
            <w:noProof/>
            <w:webHidden/>
          </w:rPr>
          <w:tab/>
        </w:r>
        <w:r w:rsidR="005608F1">
          <w:rPr>
            <w:noProof/>
            <w:webHidden/>
          </w:rPr>
          <w:fldChar w:fldCharType="begin"/>
        </w:r>
        <w:r w:rsidR="005608F1">
          <w:rPr>
            <w:noProof/>
            <w:webHidden/>
          </w:rPr>
          <w:instrText xml:space="preserve"> PAGEREF _Toc531780799 \h </w:instrText>
        </w:r>
        <w:r w:rsidR="005608F1">
          <w:rPr>
            <w:noProof/>
            <w:webHidden/>
          </w:rPr>
        </w:r>
        <w:r w:rsidR="005608F1">
          <w:rPr>
            <w:noProof/>
            <w:webHidden/>
          </w:rPr>
          <w:fldChar w:fldCharType="separate"/>
        </w:r>
        <w:r w:rsidR="001306DD">
          <w:rPr>
            <w:noProof/>
            <w:webHidden/>
          </w:rPr>
          <w:t>23</w:t>
        </w:r>
        <w:r w:rsidR="005608F1">
          <w:rPr>
            <w:noProof/>
            <w:webHidden/>
          </w:rPr>
          <w:fldChar w:fldCharType="end"/>
        </w:r>
      </w:hyperlink>
    </w:p>
    <w:p w:rsidR="005608F1" w:rsidRDefault="001B2A9D" w:rsidP="005608F1">
      <w:pPr>
        <w:pStyle w:val="TableofFigures"/>
        <w:tabs>
          <w:tab w:val="right" w:leader="dot" w:pos="8647"/>
        </w:tabs>
        <w:ind w:left="1134" w:right="611" w:hanging="1134"/>
        <w:rPr>
          <w:rFonts w:asciiTheme="minorHAnsi" w:eastAsiaTheme="minorEastAsia" w:hAnsiTheme="minorHAnsi" w:cstheme="minorBidi"/>
          <w:noProof/>
          <w:sz w:val="22"/>
          <w:szCs w:val="22"/>
        </w:rPr>
      </w:pPr>
      <w:hyperlink w:anchor="_Toc531780800" w:history="1">
        <w:r w:rsidR="005608F1" w:rsidRPr="005624B1">
          <w:rPr>
            <w:rStyle w:val="Hyperlink"/>
            <w:noProof/>
          </w:rPr>
          <w:t>Grafiks 16. ĶSP slodžu salīdzinājums pētījumā iesaistītajās aglomerācijās (1. daļa)</w:t>
        </w:r>
        <w:r w:rsidR="005608F1">
          <w:rPr>
            <w:noProof/>
            <w:webHidden/>
          </w:rPr>
          <w:tab/>
        </w:r>
        <w:r w:rsidR="005608F1">
          <w:rPr>
            <w:noProof/>
            <w:webHidden/>
          </w:rPr>
          <w:fldChar w:fldCharType="begin"/>
        </w:r>
        <w:r w:rsidR="005608F1">
          <w:rPr>
            <w:noProof/>
            <w:webHidden/>
          </w:rPr>
          <w:instrText xml:space="preserve"> PAGEREF _Toc531780800 \h </w:instrText>
        </w:r>
        <w:r w:rsidR="005608F1">
          <w:rPr>
            <w:noProof/>
            <w:webHidden/>
          </w:rPr>
        </w:r>
        <w:r w:rsidR="005608F1">
          <w:rPr>
            <w:noProof/>
            <w:webHidden/>
          </w:rPr>
          <w:fldChar w:fldCharType="separate"/>
        </w:r>
        <w:r w:rsidR="001306DD">
          <w:rPr>
            <w:noProof/>
            <w:webHidden/>
          </w:rPr>
          <w:t>24</w:t>
        </w:r>
        <w:r w:rsidR="005608F1">
          <w:rPr>
            <w:noProof/>
            <w:webHidden/>
          </w:rPr>
          <w:fldChar w:fldCharType="end"/>
        </w:r>
      </w:hyperlink>
    </w:p>
    <w:p w:rsidR="005608F1" w:rsidRDefault="001B2A9D" w:rsidP="005608F1">
      <w:pPr>
        <w:pStyle w:val="TableofFigures"/>
        <w:tabs>
          <w:tab w:val="right" w:leader="dot" w:pos="8647"/>
        </w:tabs>
        <w:ind w:left="1134" w:right="611" w:hanging="1134"/>
        <w:rPr>
          <w:rFonts w:asciiTheme="minorHAnsi" w:eastAsiaTheme="minorEastAsia" w:hAnsiTheme="minorHAnsi" w:cstheme="minorBidi"/>
          <w:noProof/>
          <w:sz w:val="22"/>
          <w:szCs w:val="22"/>
        </w:rPr>
      </w:pPr>
      <w:hyperlink w:anchor="_Toc531780801" w:history="1">
        <w:r w:rsidR="005608F1" w:rsidRPr="005624B1">
          <w:rPr>
            <w:rStyle w:val="Hyperlink"/>
            <w:noProof/>
          </w:rPr>
          <w:t>Grafiks 17. ĶSP slodžu salīdzinājums pētījumā iesaistītajās aglomerācijās (2. daļa)</w:t>
        </w:r>
        <w:r w:rsidR="005608F1">
          <w:rPr>
            <w:noProof/>
            <w:webHidden/>
          </w:rPr>
          <w:tab/>
        </w:r>
        <w:r w:rsidR="005608F1">
          <w:rPr>
            <w:noProof/>
            <w:webHidden/>
          </w:rPr>
          <w:fldChar w:fldCharType="begin"/>
        </w:r>
        <w:r w:rsidR="005608F1">
          <w:rPr>
            <w:noProof/>
            <w:webHidden/>
          </w:rPr>
          <w:instrText xml:space="preserve"> PAGEREF _Toc531780801 \h </w:instrText>
        </w:r>
        <w:r w:rsidR="005608F1">
          <w:rPr>
            <w:noProof/>
            <w:webHidden/>
          </w:rPr>
        </w:r>
        <w:r w:rsidR="005608F1">
          <w:rPr>
            <w:noProof/>
            <w:webHidden/>
          </w:rPr>
          <w:fldChar w:fldCharType="separate"/>
        </w:r>
        <w:r w:rsidR="001306DD">
          <w:rPr>
            <w:noProof/>
            <w:webHidden/>
          </w:rPr>
          <w:t>24</w:t>
        </w:r>
        <w:r w:rsidR="005608F1">
          <w:rPr>
            <w:noProof/>
            <w:webHidden/>
          </w:rPr>
          <w:fldChar w:fldCharType="end"/>
        </w:r>
      </w:hyperlink>
    </w:p>
    <w:p w:rsidR="005608F1" w:rsidRDefault="001B2A9D" w:rsidP="005608F1">
      <w:pPr>
        <w:pStyle w:val="TableofFigures"/>
        <w:tabs>
          <w:tab w:val="right" w:leader="dot" w:pos="8647"/>
        </w:tabs>
        <w:ind w:left="1134" w:right="611" w:hanging="1134"/>
        <w:rPr>
          <w:rFonts w:asciiTheme="minorHAnsi" w:eastAsiaTheme="minorEastAsia" w:hAnsiTheme="minorHAnsi" w:cstheme="minorBidi"/>
          <w:noProof/>
          <w:sz w:val="22"/>
          <w:szCs w:val="22"/>
        </w:rPr>
      </w:pPr>
      <w:hyperlink w:anchor="_Toc531780802" w:history="1">
        <w:r w:rsidR="005608F1" w:rsidRPr="005624B1">
          <w:rPr>
            <w:rStyle w:val="Hyperlink"/>
            <w:noProof/>
          </w:rPr>
          <w:t>Grafiks 18. ĶSP slodžu salīdzinājums pētījumā iesaistītajās aglomerācijās (3. daļa)</w:t>
        </w:r>
        <w:r w:rsidR="005608F1">
          <w:rPr>
            <w:noProof/>
            <w:webHidden/>
          </w:rPr>
          <w:tab/>
        </w:r>
        <w:r w:rsidR="005608F1">
          <w:rPr>
            <w:noProof/>
            <w:webHidden/>
          </w:rPr>
          <w:fldChar w:fldCharType="begin"/>
        </w:r>
        <w:r w:rsidR="005608F1">
          <w:rPr>
            <w:noProof/>
            <w:webHidden/>
          </w:rPr>
          <w:instrText xml:space="preserve"> PAGEREF _Toc531780802 \h </w:instrText>
        </w:r>
        <w:r w:rsidR="005608F1">
          <w:rPr>
            <w:noProof/>
            <w:webHidden/>
          </w:rPr>
        </w:r>
        <w:r w:rsidR="005608F1">
          <w:rPr>
            <w:noProof/>
            <w:webHidden/>
          </w:rPr>
          <w:fldChar w:fldCharType="separate"/>
        </w:r>
        <w:r w:rsidR="001306DD">
          <w:rPr>
            <w:noProof/>
            <w:webHidden/>
          </w:rPr>
          <w:t>25</w:t>
        </w:r>
        <w:r w:rsidR="005608F1">
          <w:rPr>
            <w:noProof/>
            <w:webHidden/>
          </w:rPr>
          <w:fldChar w:fldCharType="end"/>
        </w:r>
      </w:hyperlink>
    </w:p>
    <w:p w:rsidR="005608F1" w:rsidRDefault="005608F1" w:rsidP="005608F1">
      <w:pPr>
        <w:tabs>
          <w:tab w:val="right" w:leader="dot" w:pos="8647"/>
        </w:tabs>
        <w:ind w:left="1134" w:right="611" w:hanging="1134"/>
        <w:jc w:val="left"/>
        <w:rPr>
          <w:rFonts w:ascii="Arial" w:hAnsi="Arial" w:cs="Arial"/>
          <w:b/>
          <w:bCs/>
          <w:color w:val="000000"/>
          <w:szCs w:val="20"/>
        </w:rPr>
      </w:pPr>
      <w:r>
        <w:rPr>
          <w:rFonts w:ascii="Arial" w:hAnsi="Arial" w:cs="Arial"/>
          <w:b/>
          <w:bCs/>
          <w:color w:val="000000"/>
          <w:szCs w:val="20"/>
        </w:rPr>
        <w:fldChar w:fldCharType="end"/>
      </w:r>
    </w:p>
    <w:p w:rsidR="005608F1" w:rsidRDefault="005608F1" w:rsidP="005608F1">
      <w:pPr>
        <w:jc w:val="left"/>
        <w:rPr>
          <w:rFonts w:ascii="Arial" w:hAnsi="Arial" w:cs="Arial"/>
          <w:b/>
          <w:bCs/>
          <w:color w:val="000000"/>
          <w:szCs w:val="20"/>
        </w:rPr>
      </w:pPr>
      <w:r>
        <w:rPr>
          <w:rFonts w:ascii="Arial" w:hAnsi="Arial" w:cs="Arial"/>
          <w:b/>
          <w:bCs/>
          <w:color w:val="000000"/>
          <w:szCs w:val="20"/>
        </w:rPr>
        <w:br w:type="page"/>
      </w:r>
    </w:p>
    <w:p w:rsidR="00167714" w:rsidRDefault="00167714" w:rsidP="00167714">
      <w:pPr>
        <w:pStyle w:val="Heading1"/>
        <w:numPr>
          <w:ilvl w:val="0"/>
          <w:numId w:val="8"/>
        </w:numPr>
        <w:tabs>
          <w:tab w:val="clear" w:pos="397"/>
          <w:tab w:val="left" w:pos="567"/>
        </w:tabs>
        <w:suppressAutoHyphens w:val="0"/>
        <w:spacing w:before="0"/>
        <w:ind w:left="357" w:hanging="357"/>
      </w:pPr>
      <w:bookmarkStart w:id="1" w:name="_Toc531780709"/>
      <w:r>
        <w:lastRenderedPageBreak/>
        <w:t>Darba uzdevums</w:t>
      </w:r>
      <w:bookmarkEnd w:id="1"/>
    </w:p>
    <w:p w:rsidR="00167714" w:rsidRDefault="00167714" w:rsidP="00167714">
      <w:r>
        <w:t>Saskaņā ar noslēgto līgumu Nr. 1L/34/2018 starp Vides aizsardzības un reģionālās attīstības ministriju un SIA LaKalme par “Ū</w:t>
      </w:r>
      <w:r w:rsidRPr="00215DF7">
        <w:t>denssaimniecības datu aktualizācij</w:t>
      </w:r>
      <w:r>
        <w:t>u</w:t>
      </w:r>
      <w:r w:rsidRPr="00215DF7">
        <w:t xml:space="preserve"> </w:t>
      </w:r>
      <w:r>
        <w:t xml:space="preserve">49 </w:t>
      </w:r>
      <w:r w:rsidRPr="00215DF7">
        <w:t>aglomerācijās ar cilvēku ekvivalentu (CE) no 2000 līdz 10000</w:t>
      </w:r>
      <w:r>
        <w:t>”, bija paredzēts izpildīt sekojošu darbu apjomu:</w:t>
      </w:r>
    </w:p>
    <w:p w:rsidR="00167714" w:rsidRPr="00E0307D" w:rsidRDefault="00167714" w:rsidP="00167714">
      <w:pPr>
        <w:pStyle w:val="ListParagraph"/>
        <w:numPr>
          <w:ilvl w:val="0"/>
          <w:numId w:val="10"/>
        </w:numPr>
        <w:suppressAutoHyphens w:val="0"/>
        <w:ind w:left="714" w:hanging="357"/>
        <w:contextualSpacing w:val="0"/>
      </w:pPr>
      <w:r w:rsidRPr="00E0307D">
        <w:t>savākt diennakts vidējus laikam proporcionālus paraugus visu 49 minēto aglomerāciju notekūdeņu attīrīšanas ietaisēs;</w:t>
      </w:r>
    </w:p>
    <w:p w:rsidR="00167714" w:rsidRPr="00E0307D" w:rsidRDefault="00167714" w:rsidP="00167714">
      <w:pPr>
        <w:pStyle w:val="ListParagraph"/>
        <w:numPr>
          <w:ilvl w:val="0"/>
          <w:numId w:val="10"/>
        </w:numPr>
        <w:suppressAutoHyphens w:val="0"/>
        <w:ind w:left="714" w:hanging="357"/>
        <w:contextualSpacing w:val="0"/>
      </w:pPr>
      <w:r w:rsidRPr="00E0307D">
        <w:t>veikt savākto notekūdeņu paraugu analīzi akreditētā laboratorijā, nosakot tajos ĶSP un BSP</w:t>
      </w:r>
      <w:r w:rsidRPr="00E0307D">
        <w:rPr>
          <w:vertAlign w:val="subscript"/>
        </w:rPr>
        <w:t>5</w:t>
      </w:r>
      <w:r w:rsidRPr="00E0307D">
        <w:t xml:space="preserve"> līmeni;</w:t>
      </w:r>
    </w:p>
    <w:p w:rsidR="00167714" w:rsidRPr="00E0307D" w:rsidRDefault="00167714" w:rsidP="00167714">
      <w:pPr>
        <w:pStyle w:val="ListParagraph"/>
        <w:numPr>
          <w:ilvl w:val="0"/>
          <w:numId w:val="10"/>
        </w:numPr>
        <w:suppressAutoHyphens w:val="0"/>
        <w:ind w:left="714" w:hanging="357"/>
        <w:contextualSpacing w:val="0"/>
      </w:pPr>
      <w:r w:rsidRPr="00E0307D">
        <w:t>vienlaikus ar paraugu ņemšanu ievākt datus par notekūdeņu attīrīšanas iekārtās ienākošo notekūdeņu apjomu (m</w:t>
      </w:r>
      <w:r w:rsidRPr="000B47F5">
        <w:rPr>
          <w:vertAlign w:val="superscript"/>
        </w:rPr>
        <w:t>3</w:t>
      </w:r>
      <w:r w:rsidRPr="00E0307D">
        <w:t>/dnn), laikapstākļus raksturojošo informāciju;</w:t>
      </w:r>
    </w:p>
    <w:p w:rsidR="00167714" w:rsidRPr="00E0307D" w:rsidRDefault="00167714" w:rsidP="00167714">
      <w:pPr>
        <w:pStyle w:val="ListParagraph"/>
        <w:numPr>
          <w:ilvl w:val="0"/>
          <w:numId w:val="10"/>
        </w:numPr>
        <w:suppressAutoHyphens w:val="0"/>
        <w:ind w:left="714" w:hanging="357"/>
        <w:contextualSpacing w:val="0"/>
      </w:pPr>
      <w:r w:rsidRPr="00E0307D">
        <w:t>ievākt informāciju par piesārņojuma avotiem katrā aglomerācijā, to skaitā par aktuālo pieslēgumu skaitu centralizētajai kanalizācijas sistēmai un decentralizēto kanalizācijas sistēmu lietotāju skaitu;</w:t>
      </w:r>
    </w:p>
    <w:p w:rsidR="00167714" w:rsidRDefault="00167714" w:rsidP="00167714">
      <w:pPr>
        <w:pStyle w:val="ListParagraph"/>
        <w:numPr>
          <w:ilvl w:val="0"/>
          <w:numId w:val="10"/>
        </w:numPr>
        <w:suppressAutoHyphens w:val="0"/>
        <w:ind w:left="714" w:hanging="357"/>
        <w:contextualSpacing w:val="0"/>
      </w:pPr>
      <w:r w:rsidRPr="00E0307D">
        <w:t>apzināt aglomerācijās esošos asenizācijas notekūdeņu pieņemšanas punktus</w:t>
      </w:r>
      <w:r>
        <w:t>. Izlases kārtībā veikt asenizācijas notekūdeņu analīzes un iegūtos rezultātus integrēt kopējā piesārņojuma slodzes izvērtējumā;</w:t>
      </w:r>
    </w:p>
    <w:p w:rsidR="00167714" w:rsidRPr="000B47F5" w:rsidRDefault="00167714" w:rsidP="00167714">
      <w:pPr>
        <w:pStyle w:val="ListParagraph"/>
        <w:numPr>
          <w:ilvl w:val="0"/>
          <w:numId w:val="10"/>
        </w:numPr>
        <w:suppressAutoHyphens w:val="0"/>
      </w:pPr>
      <w:r w:rsidRPr="000B47F5">
        <w:t>apkopot un precizēt informāciju par veiktajiem un plānotajiem ieguldījumiem ūdenssaimniecības attīstībā.</w:t>
      </w:r>
    </w:p>
    <w:p w:rsidR="00167714" w:rsidRDefault="00167714" w:rsidP="00167714"/>
    <w:p w:rsidR="00167714" w:rsidRDefault="00167714" w:rsidP="00167714">
      <w:r>
        <w:t>Visus savāktos datus bija paredzēts apkopot un izvērtēt saskaņā ar konkursa nolikumā minētajām prasībām:</w:t>
      </w:r>
    </w:p>
    <w:p w:rsidR="00167714" w:rsidRDefault="00167714" w:rsidP="00167714">
      <w:pPr>
        <w:pStyle w:val="ListParagraph"/>
        <w:numPr>
          <w:ilvl w:val="0"/>
          <w:numId w:val="9"/>
        </w:numPr>
        <w:suppressAutoHyphens w:val="0"/>
      </w:pPr>
      <w:r>
        <w:t>aprēķināt katrā no aglomerācijām notekūdeņu attīrīšanas ietaisēs ienākošo piesārņojuma slodzi pēc ĶSP (kg/d) un BSP</w:t>
      </w:r>
      <w:r w:rsidRPr="000B47F5">
        <w:rPr>
          <w:vertAlign w:val="subscript"/>
        </w:rPr>
        <w:t>5</w:t>
      </w:r>
      <w:r>
        <w:t xml:space="preserve"> (kg/d un CE);</w:t>
      </w:r>
    </w:p>
    <w:p w:rsidR="00167714" w:rsidRPr="000B47F5" w:rsidRDefault="00167714" w:rsidP="00167714">
      <w:pPr>
        <w:pStyle w:val="ListParagraph"/>
        <w:numPr>
          <w:ilvl w:val="0"/>
          <w:numId w:val="9"/>
        </w:numPr>
        <w:suppressAutoHyphens w:val="0"/>
        <w:rPr>
          <w:sz w:val="28"/>
        </w:rPr>
      </w:pPr>
      <w:r w:rsidRPr="000B47F5">
        <w:rPr>
          <w:szCs w:val="22"/>
        </w:rPr>
        <w:t xml:space="preserve">aplēst </w:t>
      </w:r>
      <w:r>
        <w:rPr>
          <w:szCs w:val="22"/>
        </w:rPr>
        <w:t xml:space="preserve">aglomerāciju </w:t>
      </w:r>
      <w:r w:rsidRPr="000B47F5">
        <w:rPr>
          <w:szCs w:val="22"/>
        </w:rPr>
        <w:t>decentralizētajās kanalizācijas sistēmās radīto piesārņojuma slodzi CE vienībās;</w:t>
      </w:r>
    </w:p>
    <w:p w:rsidR="00167714" w:rsidRPr="000B47F5" w:rsidRDefault="00167714" w:rsidP="00167714">
      <w:pPr>
        <w:pStyle w:val="ListParagraph"/>
        <w:numPr>
          <w:ilvl w:val="0"/>
          <w:numId w:val="9"/>
        </w:numPr>
        <w:suppressAutoHyphens w:val="0"/>
        <w:rPr>
          <w:sz w:val="28"/>
        </w:rPr>
      </w:pPr>
      <w:r w:rsidRPr="000B47F5">
        <w:rPr>
          <w:szCs w:val="22"/>
        </w:rPr>
        <w:t xml:space="preserve">salīdzināt </w:t>
      </w:r>
      <w:r>
        <w:rPr>
          <w:szCs w:val="22"/>
        </w:rPr>
        <w:t xml:space="preserve">minētajos aprēķinos </w:t>
      </w:r>
      <w:r w:rsidRPr="000B47F5">
        <w:rPr>
          <w:szCs w:val="22"/>
        </w:rPr>
        <w:t xml:space="preserve">iegūtos datus par aglomerāciju radīto piesārņojuma slodzi CE vienībās ar šo aglomerāciju valsts statistikas pārskatos 2-Ūdens </w:t>
      </w:r>
      <w:r>
        <w:rPr>
          <w:szCs w:val="22"/>
        </w:rPr>
        <w:t>iesniegtajiem datiem.</w:t>
      </w:r>
    </w:p>
    <w:p w:rsidR="00167714" w:rsidRDefault="00167714" w:rsidP="00167714"/>
    <w:p w:rsidR="00167714" w:rsidRDefault="00167714" w:rsidP="00167714">
      <w:r>
        <w:t>Pēc šo darbu pabeigšanas, bija</w:t>
      </w:r>
      <w:r w:rsidRPr="000B47F5">
        <w:t xml:space="preserve"> </w:t>
      </w:r>
      <w:r>
        <w:t>paredzēts i</w:t>
      </w:r>
      <w:r w:rsidRPr="000B47F5">
        <w:t>zstrādāt metodiku notekūdeņu radītā piesārņojuma slodzes novērtēšanai apdzīvotās vietās (aglomerācijās)</w:t>
      </w:r>
      <w:r>
        <w:t>.</w:t>
      </w:r>
    </w:p>
    <w:p w:rsidR="00167714" w:rsidRDefault="00167714" w:rsidP="00167714">
      <w:r>
        <w:t xml:space="preserve">Metodikas pamatā </w:t>
      </w:r>
      <w:r w:rsidR="00261162">
        <w:t>bija paredzēts likt</w:t>
      </w:r>
      <w:r>
        <w:t xml:space="preserve"> novērot</w:t>
      </w:r>
      <w:r w:rsidR="00261162">
        <w:t>o</w:t>
      </w:r>
      <w:r>
        <w:t xml:space="preserve"> notekūdeņu attīrīšanas ietaisēs ienākoš</w:t>
      </w:r>
      <w:r w:rsidR="00261162">
        <w:t>o</w:t>
      </w:r>
      <w:r>
        <w:t xml:space="preserve"> piesārņojuma slodz</w:t>
      </w:r>
      <w:r w:rsidR="00261162">
        <w:t>i</w:t>
      </w:r>
      <w:r>
        <w:t>, korelējot to ar centralizētajai kanalizācijas sistēmai pieslēgto iedzīvotāju skaitu. Aprēķinātā ienākošā piesārņojuma slodze koriģējama, ņemot vērā iedzīvotāju skaitu, kas izmanto asenizācijas/septisko notekūdeņu izvešanas pakalpojumus un šo notekūdeņu radīto papildus piesārņojuma slodzi.</w:t>
      </w:r>
    </w:p>
    <w:p w:rsidR="00167714" w:rsidRDefault="00167714" w:rsidP="00167714">
      <w:r>
        <w:t xml:space="preserve">Tāpat </w:t>
      </w:r>
      <w:r w:rsidR="00261162">
        <w:t xml:space="preserve">bija </w:t>
      </w:r>
      <w:r>
        <w:t>paredzēts aprēķināt tipisk</w:t>
      </w:r>
      <w:r w:rsidR="00572AAB">
        <w:t>a</w:t>
      </w:r>
      <w:r>
        <w:t xml:space="preserve"> notekūdeņu piesārņojuma (pēc ĶSP un BSP</w:t>
      </w:r>
      <w:r w:rsidRPr="003B7E55">
        <w:rPr>
          <w:vertAlign w:val="subscript"/>
        </w:rPr>
        <w:t>5</w:t>
      </w:r>
      <w:r>
        <w:t>) diapazonu.</w:t>
      </w:r>
    </w:p>
    <w:p w:rsidR="00261162" w:rsidRDefault="00261162" w:rsidP="00167714"/>
    <w:p w:rsidR="00261162" w:rsidRDefault="00261162" w:rsidP="005F4AA9">
      <w:pPr>
        <w:pStyle w:val="Heading2"/>
      </w:pPr>
      <w:bookmarkStart w:id="2" w:name="_Toc531780710"/>
      <w:r>
        <w:lastRenderedPageBreak/>
        <w:t>Notekūdeņu paraugu savākšana un analīze</w:t>
      </w:r>
      <w:bookmarkEnd w:id="2"/>
    </w:p>
    <w:p w:rsidR="00261162" w:rsidRDefault="00261162" w:rsidP="00261162">
      <w:r>
        <w:t xml:space="preserve">Pārskats par notekūdeņu paraugu vākšanu, </w:t>
      </w:r>
      <w:r w:rsidR="00572AAB">
        <w:t xml:space="preserve">tajā </w:t>
      </w:r>
      <w:r>
        <w:t xml:space="preserve">izmantoto metodiku, </w:t>
      </w:r>
      <w:r w:rsidR="00572AAB">
        <w:t>tehnisko aprīkojumu un iegūtajiem rezultātiem dots šī darba 1. daļā.</w:t>
      </w:r>
    </w:p>
    <w:p w:rsidR="00261162" w:rsidRDefault="00261162" w:rsidP="00261162"/>
    <w:p w:rsidR="00572AAB" w:rsidRDefault="00572AAB" w:rsidP="00572AAB">
      <w:pPr>
        <w:pStyle w:val="Heading2"/>
      </w:pPr>
      <w:bookmarkStart w:id="3" w:name="_Toc531780711"/>
      <w:r>
        <w:t xml:space="preserve">Piesārņojuma avoti, </w:t>
      </w:r>
      <w:r w:rsidR="00760E7A">
        <w:t xml:space="preserve">kanalizācijas sistēmu </w:t>
      </w:r>
      <w:r>
        <w:t>lietotāju skaits</w:t>
      </w:r>
      <w:bookmarkEnd w:id="3"/>
    </w:p>
    <w:p w:rsidR="00572AAB" w:rsidRDefault="00E05EFE" w:rsidP="00261162">
      <w:r>
        <w:t>Lielākajā daļā apsekoto aglomerāciju galvenais piesārņojuma avots ir iedzīvotāju radītie sadzīves notekūdeņi. Tomēr ir arī daži izņēmumi, piemēram, Babīte, kur nozīmīgs piesārņotājs ir SIA Linström, Jaunpiebalga ar SIA “Piebalgas alus”, Dundaga ar PKS “Dundagas pienotava”, Smiltene ar a/s “Smiltenes piens” un dažas citas.</w:t>
      </w:r>
    </w:p>
    <w:p w:rsidR="00E05EFE" w:rsidRDefault="00E05EFE" w:rsidP="00261162">
      <w:r>
        <w:t>Diemžēl ne visu aglomerāciju pārstāvji aizpildīja un iesniedza aptaujas lapas, kurās bija lūgts norādīt ražošanas uzņēmumus – lielākos piesārņotājus. Saņemtās aptaujas lapas pievienotas šim dokumentam kā 1. pielikums.</w:t>
      </w:r>
    </w:p>
    <w:p w:rsidR="00E05EFE" w:rsidRDefault="00E05EFE" w:rsidP="00261162">
      <w:r>
        <w:t xml:space="preserve">Salīdzinot kanalizācijas sistēmas lietotāju skaitu, redzams, ka 2016. – 2017. g periodā tam ir bijusi tendence </w:t>
      </w:r>
      <w:r w:rsidR="00A91632">
        <w:t xml:space="preserve">nedaudz </w:t>
      </w:r>
      <w:r>
        <w:t>augt. Šāda tendence ir loģiska, jo daudzas pašvaldības ir ieguldījušas nozīmīgus līdzekļus kanalizācijas tīklu paplašināšanā un pamazām palielina pieslēgumu skaitu.</w:t>
      </w:r>
      <w:r w:rsidR="00A91632">
        <w:t xml:space="preserve"> Lielāks pieaugums konstatēts tur, kur pēdējos gados veikta nozīmīga kanalizācijas tīklu paplašināšana, piemēram, Aizputē.</w:t>
      </w:r>
    </w:p>
    <w:p w:rsidR="00E05EFE" w:rsidRDefault="00E05EFE" w:rsidP="00261162">
      <w:r>
        <w:t>Dažās aglomerācijās pieslēgto iedzīvotāju skaits ir krities, kas pamatā skaidrojams ar cilvēku izceļošanu no Latvijas, vai pārcelšanos tuvāk vietējiem ražošanas centriem.</w:t>
      </w:r>
    </w:p>
    <w:p w:rsidR="00A91632" w:rsidRDefault="00A91632" w:rsidP="00A91632">
      <w:pPr>
        <w:pStyle w:val="Caption"/>
        <w:keepNext/>
      </w:pPr>
      <w:bookmarkStart w:id="4" w:name="_Toc531780729"/>
      <w:r>
        <w:t xml:space="preserve">Tabula </w:t>
      </w:r>
      <w:r w:rsidR="001B2A9D">
        <w:rPr>
          <w:noProof/>
        </w:rPr>
        <w:fldChar w:fldCharType="begin"/>
      </w:r>
      <w:r w:rsidR="001B2A9D">
        <w:rPr>
          <w:noProof/>
        </w:rPr>
        <w:instrText xml:space="preserve"> SEQ Tabula \* ARABIC </w:instrText>
      </w:r>
      <w:r w:rsidR="001B2A9D">
        <w:rPr>
          <w:noProof/>
        </w:rPr>
        <w:fldChar w:fldCharType="separate"/>
      </w:r>
      <w:r w:rsidR="00522A42">
        <w:rPr>
          <w:noProof/>
        </w:rPr>
        <w:t>1</w:t>
      </w:r>
      <w:r w:rsidR="001B2A9D">
        <w:rPr>
          <w:noProof/>
        </w:rPr>
        <w:fldChar w:fldCharType="end"/>
      </w:r>
      <w:r>
        <w:t>. Centralizētajai kanalizācijas sistēmai pieslēgto iedzīvotāju skaits</w:t>
      </w:r>
      <w:bookmarkEnd w:id="4"/>
      <w:r>
        <w:t xml:space="preserve"> </w:t>
      </w:r>
    </w:p>
    <w:tbl>
      <w:tblPr>
        <w:tblW w:w="3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960"/>
        <w:gridCol w:w="960"/>
      </w:tblGrid>
      <w:tr w:rsidR="00E05EFE" w:rsidRPr="00E05EFE" w:rsidTr="00A91632">
        <w:trPr>
          <w:trHeight w:val="300"/>
          <w:tblHeader/>
        </w:trPr>
        <w:tc>
          <w:tcPr>
            <w:tcW w:w="1480" w:type="dxa"/>
            <w:vMerge w:val="restart"/>
            <w:shd w:val="clear" w:color="auto" w:fill="auto"/>
            <w:noWrap/>
            <w:hideMark/>
          </w:tcPr>
          <w:p w:rsidR="00E05EFE" w:rsidRPr="00E05EFE" w:rsidRDefault="00E05EFE" w:rsidP="00E05EFE">
            <w:pPr>
              <w:suppressAutoHyphens w:val="0"/>
              <w:spacing w:after="0"/>
              <w:jc w:val="center"/>
              <w:rPr>
                <w:rFonts w:ascii="Calibri" w:hAnsi="Calibri"/>
                <w:color w:val="000000"/>
                <w:sz w:val="22"/>
                <w:szCs w:val="22"/>
              </w:rPr>
            </w:pPr>
            <w:r>
              <w:rPr>
                <w:rFonts w:ascii="Calibri" w:hAnsi="Calibri"/>
                <w:color w:val="000000"/>
                <w:sz w:val="22"/>
                <w:szCs w:val="22"/>
              </w:rPr>
              <w:t>Aglomerācija</w:t>
            </w:r>
          </w:p>
        </w:tc>
        <w:tc>
          <w:tcPr>
            <w:tcW w:w="1920" w:type="dxa"/>
            <w:gridSpan w:val="2"/>
            <w:shd w:val="clear" w:color="auto" w:fill="auto"/>
            <w:noWrap/>
            <w:vAlign w:val="bottom"/>
          </w:tcPr>
          <w:p w:rsidR="00E05EFE" w:rsidRPr="00E05EFE" w:rsidRDefault="00E05EFE" w:rsidP="00E05EFE">
            <w:pPr>
              <w:suppressAutoHyphens w:val="0"/>
              <w:spacing w:after="0"/>
              <w:jc w:val="center"/>
              <w:rPr>
                <w:rFonts w:ascii="Calibri" w:hAnsi="Calibri"/>
                <w:color w:val="000000"/>
                <w:sz w:val="22"/>
                <w:szCs w:val="22"/>
              </w:rPr>
            </w:pPr>
            <w:r>
              <w:rPr>
                <w:rFonts w:ascii="Calibri" w:hAnsi="Calibri"/>
                <w:color w:val="000000"/>
                <w:sz w:val="22"/>
                <w:szCs w:val="22"/>
              </w:rPr>
              <w:t>Gads</w:t>
            </w:r>
          </w:p>
        </w:tc>
      </w:tr>
      <w:tr w:rsidR="00E05EFE" w:rsidRPr="00E05EFE" w:rsidTr="00A91632">
        <w:trPr>
          <w:trHeight w:val="300"/>
          <w:tblHeader/>
        </w:trPr>
        <w:tc>
          <w:tcPr>
            <w:tcW w:w="1480" w:type="dxa"/>
            <w:vMerge/>
            <w:shd w:val="clear" w:color="auto" w:fill="auto"/>
            <w:noWrap/>
            <w:vAlign w:val="bottom"/>
          </w:tcPr>
          <w:p w:rsidR="00E05EFE" w:rsidRPr="00E05EFE" w:rsidRDefault="00E05EFE" w:rsidP="00E05EFE">
            <w:pPr>
              <w:suppressAutoHyphens w:val="0"/>
              <w:spacing w:after="0"/>
              <w:jc w:val="left"/>
              <w:rPr>
                <w:rFonts w:ascii="Calibri" w:hAnsi="Calibri"/>
                <w:color w:val="000000"/>
                <w:sz w:val="22"/>
                <w:szCs w:val="22"/>
              </w:rPr>
            </w:pPr>
          </w:p>
        </w:tc>
        <w:tc>
          <w:tcPr>
            <w:tcW w:w="960" w:type="dxa"/>
            <w:shd w:val="clear" w:color="auto" w:fill="auto"/>
            <w:noWrap/>
            <w:vAlign w:val="bottom"/>
          </w:tcPr>
          <w:p w:rsidR="00E05EFE" w:rsidRPr="00E05EFE" w:rsidRDefault="00E05EFE" w:rsidP="00A91632">
            <w:pPr>
              <w:suppressAutoHyphens w:val="0"/>
              <w:spacing w:after="0"/>
              <w:jc w:val="right"/>
              <w:rPr>
                <w:rFonts w:ascii="Calibri" w:hAnsi="Calibri"/>
                <w:color w:val="000000"/>
                <w:sz w:val="22"/>
                <w:szCs w:val="22"/>
              </w:rPr>
            </w:pPr>
            <w:r w:rsidRPr="00E05EFE">
              <w:rPr>
                <w:rFonts w:ascii="Calibri" w:hAnsi="Calibri"/>
                <w:color w:val="000000"/>
                <w:sz w:val="22"/>
                <w:szCs w:val="22"/>
              </w:rPr>
              <w:t>2016</w:t>
            </w:r>
          </w:p>
        </w:tc>
        <w:tc>
          <w:tcPr>
            <w:tcW w:w="960" w:type="dxa"/>
            <w:shd w:val="clear" w:color="auto" w:fill="auto"/>
            <w:noWrap/>
            <w:vAlign w:val="bottom"/>
          </w:tcPr>
          <w:p w:rsidR="00E05EFE" w:rsidRPr="00E05EFE" w:rsidRDefault="00E05EFE" w:rsidP="00A91632">
            <w:pPr>
              <w:suppressAutoHyphens w:val="0"/>
              <w:spacing w:after="0"/>
              <w:jc w:val="right"/>
              <w:rPr>
                <w:rFonts w:ascii="Calibri" w:hAnsi="Calibri"/>
                <w:color w:val="000000"/>
                <w:sz w:val="22"/>
                <w:szCs w:val="22"/>
              </w:rPr>
            </w:pPr>
            <w:r w:rsidRPr="00E05EFE">
              <w:rPr>
                <w:rFonts w:ascii="Calibri" w:hAnsi="Calibri"/>
                <w:color w:val="000000"/>
                <w:sz w:val="22"/>
                <w:szCs w:val="22"/>
              </w:rPr>
              <w:t>2017</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sidRPr="00E05EFE">
              <w:rPr>
                <w:rFonts w:ascii="Calibri" w:hAnsi="Calibri"/>
                <w:color w:val="000000"/>
                <w:sz w:val="22"/>
                <w:szCs w:val="22"/>
              </w:rPr>
              <w:t>Aizpute</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3175</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3891</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Alūksne</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5501</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5486</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sidRPr="00E05EFE">
              <w:rPr>
                <w:rFonts w:ascii="Calibri" w:hAnsi="Calibri"/>
                <w:color w:val="000000"/>
                <w:sz w:val="22"/>
                <w:szCs w:val="22"/>
              </w:rPr>
              <w:t>Auce</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1585</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1585</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sidRPr="00E05EFE">
              <w:rPr>
                <w:rFonts w:ascii="Calibri" w:hAnsi="Calibri"/>
                <w:color w:val="000000"/>
                <w:sz w:val="22"/>
                <w:szCs w:val="22"/>
              </w:rPr>
              <w:t>Babīte</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4960</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5000</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sidRPr="00E05EFE">
              <w:rPr>
                <w:rFonts w:ascii="Calibri" w:hAnsi="Calibri"/>
                <w:color w:val="000000"/>
                <w:sz w:val="22"/>
                <w:szCs w:val="22"/>
              </w:rPr>
              <w:t>Baldone</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1620</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1650</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sidRPr="00E05EFE">
              <w:rPr>
                <w:rFonts w:ascii="Calibri" w:hAnsi="Calibri"/>
                <w:color w:val="000000"/>
                <w:sz w:val="22"/>
                <w:szCs w:val="22"/>
              </w:rPr>
              <w:t>Baloži</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6000</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6000</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sidRPr="00E05EFE">
              <w:rPr>
                <w:rFonts w:ascii="Calibri" w:hAnsi="Calibri"/>
                <w:color w:val="000000"/>
                <w:sz w:val="22"/>
                <w:szCs w:val="22"/>
              </w:rPr>
              <w:t>Balvi</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6065</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6065</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Brocēni</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3041</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3100</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sidRPr="00E05EFE">
              <w:rPr>
                <w:rFonts w:ascii="Calibri" w:hAnsi="Calibri"/>
                <w:color w:val="000000"/>
                <w:sz w:val="22"/>
                <w:szCs w:val="22"/>
              </w:rPr>
              <w:t>Carnikava</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2852</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3069</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sidRPr="00E05EFE">
              <w:rPr>
                <w:rFonts w:ascii="Calibri" w:hAnsi="Calibri"/>
                <w:color w:val="000000"/>
                <w:sz w:val="22"/>
                <w:szCs w:val="22"/>
              </w:rPr>
              <w:t>Dagda</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2684</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2684</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Dundaga</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2153</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1863</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Ērgļi</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1508</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1890</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sidRPr="00E05EFE">
              <w:rPr>
                <w:rFonts w:ascii="Calibri" w:hAnsi="Calibri"/>
                <w:color w:val="000000"/>
                <w:sz w:val="22"/>
                <w:szCs w:val="22"/>
              </w:rPr>
              <w:t>Grobiņa</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4232</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3631</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Iecava</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3261</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3278</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sidRPr="00E05EFE">
              <w:rPr>
                <w:rFonts w:ascii="Calibri" w:hAnsi="Calibri"/>
                <w:color w:val="000000"/>
                <w:sz w:val="22"/>
                <w:szCs w:val="22"/>
              </w:rPr>
              <w:t>Ikšķile</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2829</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2903</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sidRPr="00E05EFE">
              <w:rPr>
                <w:rFonts w:ascii="Calibri" w:hAnsi="Calibri"/>
                <w:color w:val="000000"/>
                <w:sz w:val="22"/>
                <w:szCs w:val="22"/>
              </w:rPr>
              <w:t>Ilūkste</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2086</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2095</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Īslīce</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1985</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1998</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Jaunolaine</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3249</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3249</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Jaunpiebalga</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378</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378</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Kandava</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4100</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4100</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Kārsava</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924</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937</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lastRenderedPageBreak/>
              <w:t>Krāslava</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8250</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8310</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Ķegums</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1135</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1180</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Lielvārde</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6233</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6232</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Liepa</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2340</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2390</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sidRPr="00E05EFE">
              <w:rPr>
                <w:rFonts w:ascii="Calibri" w:hAnsi="Calibri"/>
                <w:color w:val="000000"/>
                <w:sz w:val="22"/>
                <w:szCs w:val="22"/>
              </w:rPr>
              <w:t>Limbaži</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7761</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7761</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sidRPr="00E05EFE">
              <w:rPr>
                <w:rFonts w:ascii="Calibri" w:hAnsi="Calibri"/>
                <w:color w:val="000000"/>
                <w:sz w:val="22"/>
                <w:szCs w:val="22"/>
              </w:rPr>
              <w:t>Līvāni</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7261</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7265</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sidRPr="00E05EFE">
              <w:rPr>
                <w:rFonts w:ascii="Calibri" w:hAnsi="Calibri"/>
                <w:color w:val="000000"/>
                <w:sz w:val="22"/>
                <w:szCs w:val="22"/>
              </w:rPr>
              <w:t>Ludza</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5526</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5526</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Malta</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1002</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1002</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Mālpils</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1993</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1993</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Ozolnieki</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2280</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2280</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Pļaviņas</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1814</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1814</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sidRPr="00E05EFE">
              <w:rPr>
                <w:rFonts w:ascii="Calibri" w:hAnsi="Calibri"/>
                <w:color w:val="000000"/>
                <w:sz w:val="22"/>
                <w:szCs w:val="22"/>
              </w:rPr>
              <w:t>Preiļi</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4500</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4300</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sidRPr="00E05EFE">
              <w:rPr>
                <w:rFonts w:ascii="Calibri" w:hAnsi="Calibri"/>
                <w:color w:val="000000"/>
                <w:sz w:val="22"/>
                <w:szCs w:val="22"/>
              </w:rPr>
              <w:t>Priekule</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1009</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1010</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Priekuļi</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0</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0</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Roja</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2390</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2290</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Rūjiena</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1050</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1050</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Salacgrīva</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1200</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1280</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Saulkrasti</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1741</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2090</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sidRPr="00E05EFE">
              <w:rPr>
                <w:rFonts w:ascii="Calibri" w:hAnsi="Calibri"/>
                <w:color w:val="000000"/>
                <w:sz w:val="22"/>
                <w:szCs w:val="22"/>
              </w:rPr>
              <w:t>Skrīveri</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300</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305</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sidRPr="00E05EFE">
              <w:rPr>
                <w:rFonts w:ascii="Calibri" w:hAnsi="Calibri"/>
                <w:color w:val="000000"/>
                <w:sz w:val="22"/>
                <w:szCs w:val="22"/>
              </w:rPr>
              <w:t>Skrunda</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870</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860</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sidRPr="00E05EFE">
              <w:rPr>
                <w:rFonts w:ascii="Calibri" w:hAnsi="Calibri"/>
                <w:color w:val="000000"/>
                <w:sz w:val="22"/>
                <w:szCs w:val="22"/>
              </w:rPr>
              <w:t>Smiltene</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4488</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4488</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Stende</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170</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458</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Ulbroka</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2389</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2389</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sidRPr="00E05EFE">
              <w:rPr>
                <w:rFonts w:ascii="Calibri" w:hAnsi="Calibri"/>
                <w:color w:val="000000"/>
                <w:sz w:val="22"/>
                <w:szCs w:val="22"/>
              </w:rPr>
              <w:t>Valka</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4325</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4348</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Vangaži</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4000</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4000</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sidRPr="00E05EFE">
              <w:rPr>
                <w:rFonts w:ascii="Calibri" w:hAnsi="Calibri"/>
                <w:color w:val="000000"/>
                <w:sz w:val="22"/>
                <w:szCs w:val="22"/>
              </w:rPr>
              <w:t>Varakļāni</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1442</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1442</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Vecumnieki</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1250</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1250</w:t>
            </w:r>
          </w:p>
        </w:tc>
      </w:tr>
      <w:tr w:rsidR="00E05EFE" w:rsidRPr="00E05EFE" w:rsidTr="00E05EFE">
        <w:trPr>
          <w:trHeight w:val="300"/>
        </w:trPr>
        <w:tc>
          <w:tcPr>
            <w:tcW w:w="1480" w:type="dxa"/>
            <w:shd w:val="clear" w:color="auto" w:fill="auto"/>
            <w:noWrap/>
            <w:vAlign w:val="bottom"/>
            <w:hideMark/>
          </w:tcPr>
          <w:p w:rsidR="00E05EFE" w:rsidRPr="00E05EFE" w:rsidRDefault="00E05EFE" w:rsidP="00E05EFE">
            <w:pPr>
              <w:suppressAutoHyphens w:val="0"/>
              <w:spacing w:after="0"/>
              <w:jc w:val="left"/>
              <w:rPr>
                <w:rFonts w:ascii="Calibri" w:hAnsi="Calibri"/>
                <w:color w:val="000000"/>
                <w:sz w:val="22"/>
                <w:szCs w:val="22"/>
              </w:rPr>
            </w:pPr>
            <w:r>
              <w:rPr>
                <w:rFonts w:ascii="Calibri" w:hAnsi="Calibri"/>
                <w:color w:val="000000"/>
                <w:sz w:val="22"/>
                <w:szCs w:val="22"/>
              </w:rPr>
              <w:t>Viļāni</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1701</w:t>
            </w:r>
          </w:p>
        </w:tc>
        <w:tc>
          <w:tcPr>
            <w:tcW w:w="960" w:type="dxa"/>
            <w:shd w:val="clear" w:color="auto" w:fill="auto"/>
            <w:noWrap/>
            <w:vAlign w:val="bottom"/>
            <w:hideMark/>
          </w:tcPr>
          <w:p w:rsidR="00E05EFE" w:rsidRPr="00E05EFE" w:rsidRDefault="00E05EFE" w:rsidP="00E05EFE">
            <w:pPr>
              <w:suppressAutoHyphens w:val="0"/>
              <w:spacing w:after="0"/>
              <w:jc w:val="right"/>
              <w:rPr>
                <w:rFonts w:ascii="Calibri" w:hAnsi="Calibri"/>
                <w:color w:val="000000"/>
                <w:sz w:val="22"/>
                <w:szCs w:val="22"/>
              </w:rPr>
            </w:pPr>
            <w:r w:rsidRPr="00E05EFE">
              <w:rPr>
                <w:rFonts w:ascii="Calibri" w:hAnsi="Calibri"/>
                <w:color w:val="000000"/>
                <w:sz w:val="22"/>
                <w:szCs w:val="22"/>
              </w:rPr>
              <w:t>1861</w:t>
            </w:r>
          </w:p>
        </w:tc>
      </w:tr>
    </w:tbl>
    <w:p w:rsidR="00E05EFE" w:rsidRDefault="00A91632" w:rsidP="00261162">
      <w:r>
        <w:t>Piezīme: Priekuļi pārsūknē notekūdeņus uz Cēsu NAI, tāpēc par tiem nav pieejama Ū-2 forma.</w:t>
      </w:r>
    </w:p>
    <w:p w:rsidR="00572AAB" w:rsidRPr="00261162" w:rsidRDefault="00572AAB" w:rsidP="00261162"/>
    <w:p w:rsidR="005F4AA9" w:rsidRDefault="00A91632" w:rsidP="005F4AA9">
      <w:pPr>
        <w:pStyle w:val="Heading2"/>
      </w:pPr>
      <w:bookmarkStart w:id="5" w:name="_Toc531780712"/>
      <w:r>
        <w:t>Decentralizēto kanalizācijas sistēmu lietotāju skaits un radītais piesārņojums</w:t>
      </w:r>
      <w:bookmarkEnd w:id="5"/>
    </w:p>
    <w:p w:rsidR="00A91632" w:rsidRDefault="00A91632" w:rsidP="00A91632">
      <w:pPr>
        <w:rPr>
          <w:rFonts w:ascii="ArialMT" w:eastAsiaTheme="minorHAnsi" w:hAnsi="ArialMT" w:cs="ArialMT"/>
          <w:lang w:eastAsia="en-US"/>
        </w:rPr>
      </w:pPr>
      <w:r>
        <w:t>Dati par decentralizēto kanalizācijas sistēmu lietotāju skaitu un to radīto piesārņojumu tika apkopoti</w:t>
      </w:r>
      <w:r w:rsidRPr="00A91632">
        <w:t xml:space="preserve"> no </w:t>
      </w:r>
      <w:r>
        <w:t>v</w:t>
      </w:r>
      <w:r w:rsidRPr="00A91632">
        <w:rPr>
          <w:rFonts w:ascii="ArialMT" w:eastAsiaTheme="minorHAnsi" w:hAnsi="ArialMT" w:cs="ArialMT"/>
          <w:lang w:eastAsia="en-US"/>
        </w:rPr>
        <w:t>eidlap</w:t>
      </w:r>
      <w:r>
        <w:rPr>
          <w:rFonts w:ascii="ArialMT" w:eastAsiaTheme="minorHAnsi" w:hAnsi="ArialMT" w:cs="ArialMT"/>
          <w:lang w:eastAsia="en-US"/>
        </w:rPr>
        <w:t>ām</w:t>
      </w:r>
      <w:r w:rsidRPr="00A91632">
        <w:rPr>
          <w:rFonts w:ascii="ArialMT" w:eastAsiaTheme="minorHAnsi" w:hAnsi="ArialMT" w:cs="ArialMT"/>
          <w:lang w:eastAsia="en-US"/>
        </w:rPr>
        <w:t xml:space="preserve"> 'Nr.2-Ūdens. Pārskats par ūdens resursu lietoš</w:t>
      </w:r>
      <w:r>
        <w:rPr>
          <w:rFonts w:ascii="ArialMT" w:eastAsiaTheme="minorHAnsi" w:hAnsi="ArialMT" w:cs="ArialMT"/>
          <w:lang w:eastAsia="en-US"/>
        </w:rPr>
        <w:t xml:space="preserve">anu', kuras pieejamas interneta vietnē </w:t>
      </w:r>
      <w:hyperlink r:id="rId8" w:history="1">
        <w:r w:rsidRPr="0005546D">
          <w:rPr>
            <w:rStyle w:val="Hyperlink"/>
            <w:rFonts w:ascii="ArialMT" w:eastAsiaTheme="minorHAnsi" w:hAnsi="ArialMT" w:cs="ArialMT"/>
            <w:lang w:eastAsia="en-US"/>
          </w:rPr>
          <w:t>http://parissrv.lvgmc.lv/</w:t>
        </w:r>
      </w:hyperlink>
      <w:r>
        <w:rPr>
          <w:rFonts w:ascii="ArialMT" w:eastAsiaTheme="minorHAnsi" w:hAnsi="ArialMT" w:cs="ArialMT"/>
          <w:lang w:eastAsia="en-US"/>
        </w:rPr>
        <w:t>. Daļa pašvaldību iesniedza savu pārskatu kopijas .pdf formātā, un tās ir pievienotas šim dokumentam 1. pielikumā.</w:t>
      </w:r>
    </w:p>
    <w:p w:rsidR="00A91632" w:rsidRDefault="00A91632" w:rsidP="00A91632">
      <w:pPr>
        <w:rPr>
          <w:rFonts w:ascii="ArialMT" w:eastAsiaTheme="minorHAnsi" w:hAnsi="ArialMT" w:cs="ArialMT"/>
          <w:lang w:eastAsia="en-US"/>
        </w:rPr>
      </w:pPr>
      <w:r>
        <w:rPr>
          <w:rFonts w:ascii="ArialMT" w:eastAsiaTheme="minorHAnsi" w:hAnsi="ArialMT" w:cs="ArialMT"/>
          <w:lang w:eastAsia="en-US"/>
        </w:rPr>
        <w:t>Diemžēl bija jāsecina, ka “2-Ūdens” formās pieejamie dati satur lielu skaitu kļūdu un nav piemēroti jebkādu secinājumu izdarīšanai.</w:t>
      </w:r>
    </w:p>
    <w:p w:rsidR="005608F1" w:rsidRDefault="005608F1" w:rsidP="00A91632">
      <w:pPr>
        <w:rPr>
          <w:rFonts w:ascii="ArialMT" w:eastAsiaTheme="minorHAnsi" w:hAnsi="ArialMT" w:cs="ArialMT"/>
          <w:lang w:eastAsia="en-US"/>
        </w:rPr>
      </w:pPr>
    </w:p>
    <w:p w:rsidR="000A6424" w:rsidRDefault="000A6424" w:rsidP="000A6424">
      <w:pPr>
        <w:pStyle w:val="Caption"/>
        <w:keepNext/>
      </w:pPr>
      <w:bookmarkStart w:id="6" w:name="_Toc531780730"/>
      <w:r>
        <w:lastRenderedPageBreak/>
        <w:t xml:space="preserve">Tabula </w:t>
      </w:r>
      <w:r w:rsidR="001B2A9D">
        <w:rPr>
          <w:noProof/>
        </w:rPr>
        <w:fldChar w:fldCharType="begin"/>
      </w:r>
      <w:r w:rsidR="001B2A9D">
        <w:rPr>
          <w:noProof/>
        </w:rPr>
        <w:instrText xml:space="preserve"> SEQ Tabula \* ARABIC </w:instrText>
      </w:r>
      <w:r w:rsidR="001B2A9D">
        <w:rPr>
          <w:noProof/>
        </w:rPr>
        <w:fldChar w:fldCharType="separate"/>
      </w:r>
      <w:r w:rsidR="00522A42">
        <w:rPr>
          <w:noProof/>
        </w:rPr>
        <w:t>2</w:t>
      </w:r>
      <w:r w:rsidR="001B2A9D">
        <w:rPr>
          <w:noProof/>
        </w:rPr>
        <w:fldChar w:fldCharType="end"/>
      </w:r>
      <w:r>
        <w:t>. Dati par decentralizētās kanalizācijas pakalpojumu apjomu</w:t>
      </w:r>
      <w:bookmarkEnd w:id="6"/>
    </w:p>
    <w:tbl>
      <w:tblPr>
        <w:tblW w:w="8701" w:type="dxa"/>
        <w:tblInd w:w="93" w:type="dxa"/>
        <w:tblLook w:val="04A0" w:firstRow="1" w:lastRow="0" w:firstColumn="1" w:lastColumn="0" w:noHBand="0" w:noVBand="1"/>
      </w:tblPr>
      <w:tblGrid>
        <w:gridCol w:w="1438"/>
        <w:gridCol w:w="813"/>
        <w:gridCol w:w="1249"/>
        <w:gridCol w:w="1258"/>
        <w:gridCol w:w="1090"/>
        <w:gridCol w:w="1632"/>
        <w:gridCol w:w="1221"/>
      </w:tblGrid>
      <w:tr w:rsidR="00A91632" w:rsidRPr="00A91632" w:rsidTr="000A6424">
        <w:trPr>
          <w:trHeight w:val="300"/>
          <w:tblHeader/>
        </w:trPr>
        <w:tc>
          <w:tcPr>
            <w:tcW w:w="14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Aglomerācija, gads</w:t>
            </w:r>
          </w:p>
        </w:tc>
        <w:tc>
          <w:tcPr>
            <w:tcW w:w="7263" w:type="dxa"/>
            <w:gridSpan w:val="6"/>
            <w:tcBorders>
              <w:top w:val="single" w:sz="4" w:space="0" w:color="auto"/>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Izvedamās cisternas</w:t>
            </w:r>
          </w:p>
        </w:tc>
      </w:tr>
      <w:tr w:rsidR="00A91632" w:rsidRPr="00A91632" w:rsidTr="000A6424">
        <w:trPr>
          <w:trHeight w:val="300"/>
          <w:tblHeader/>
        </w:trPr>
        <w:tc>
          <w:tcPr>
            <w:tcW w:w="1438" w:type="dxa"/>
            <w:vMerge/>
            <w:tcBorders>
              <w:top w:val="single" w:sz="4" w:space="0" w:color="auto"/>
              <w:left w:val="single" w:sz="4" w:space="0" w:color="auto"/>
              <w:bottom w:val="single" w:sz="4" w:space="0" w:color="auto"/>
              <w:right w:val="single" w:sz="4" w:space="0" w:color="auto"/>
            </w:tcBorders>
            <w:vAlign w:val="center"/>
            <w:hideMark/>
          </w:tcPr>
          <w:p w:rsidR="00A91632" w:rsidRPr="00A91632" w:rsidRDefault="00A91632" w:rsidP="00A91632">
            <w:pPr>
              <w:suppressAutoHyphens w:val="0"/>
              <w:spacing w:after="0"/>
              <w:jc w:val="left"/>
              <w:rPr>
                <w:rFonts w:ascii="Calibri" w:hAnsi="Calibri"/>
                <w:color w:val="000000"/>
                <w:sz w:val="22"/>
                <w:szCs w:val="22"/>
              </w:rPr>
            </w:pP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Iedz. skaits</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Daudzums, m3/g</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Daudzums, m3/d</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Apr. slodze, CE</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Apr. slodze, kg BSP5/d</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Apr.  BSP5, mg/L</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Aizpute,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1520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839</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3,2</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0,6</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188</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Aizpute,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1520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817</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3,1</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0,6</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194</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Alūksne,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599</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940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3,5</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203</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12,2</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3486</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Alūksne,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578</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1500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5,7</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198</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11,9</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2088</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Auce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355</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401</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1,5</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Auce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323</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105</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0,4</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Babīte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Babīte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Baldone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186</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843</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3,2</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0,6</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188</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Baldone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190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948</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3,6</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0,6</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167</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Baloži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93</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279</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1,1</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0,4</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364</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Baloži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Balvi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719</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558</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2,1</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Balvi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692</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630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2,4</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0,2</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83</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Brocēni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Brocēni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Carnikava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2400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1461</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5,5</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Carnikava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1200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1581</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1488</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89,3</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14883</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Dagda,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113</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1030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3,9</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0,1</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26</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Dagda,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87</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870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3,3</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0,1</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Dundaga,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232</w:t>
            </w:r>
          </w:p>
        </w:tc>
        <w:tc>
          <w:tcPr>
            <w:tcW w:w="1249"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5956</w:t>
            </w:r>
          </w:p>
        </w:tc>
        <w:tc>
          <w:tcPr>
            <w:tcW w:w="1258"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22,5</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Dundaga,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262</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366</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1,4</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Ērgļi,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Ērgļi,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Grobiņa,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105</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1384</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5,2</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22</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1,3</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250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Grobiņa,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105</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1642</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6,2</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22</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1,3</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210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Iecava,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Iecava,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Ikšķile,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Ikšķile,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4042</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15,3</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lastRenderedPageBreak/>
              <w:t>Ilūkste,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104</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776</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2,9</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62</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3,7</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1276</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Ilūkste,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106</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778</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2,9</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65</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3,9</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1345</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Īslīce,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Īslīce,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Jaunolaine,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Jaunolaine,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Jaunpiebalga,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18</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50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0,2</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0,2</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1000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Jaunpiebalga,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74</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0,3</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0,4</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1333</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Kandava,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440</w:t>
            </w:r>
          </w:p>
        </w:tc>
        <w:tc>
          <w:tcPr>
            <w:tcW w:w="1249"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6823</w:t>
            </w:r>
          </w:p>
        </w:tc>
        <w:tc>
          <w:tcPr>
            <w:tcW w:w="1258"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25,7</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Kandava,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440</w:t>
            </w:r>
          </w:p>
        </w:tc>
        <w:tc>
          <w:tcPr>
            <w:tcW w:w="1249"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6394</w:t>
            </w:r>
          </w:p>
        </w:tc>
        <w:tc>
          <w:tcPr>
            <w:tcW w:w="1258"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24,1</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Kārsava,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Kārsava,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Krāslava,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653</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2,5</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18</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1,1</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440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Krāslava,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210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737</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2,8</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34</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714</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Ķegums,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Ķegums,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Lielvārde,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2868</w:t>
            </w:r>
          </w:p>
        </w:tc>
        <w:tc>
          <w:tcPr>
            <w:tcW w:w="1249"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5583</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21,1</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Lielvārde,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2640</w:t>
            </w:r>
          </w:p>
        </w:tc>
        <w:tc>
          <w:tcPr>
            <w:tcW w:w="1249"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3953</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14,9</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Liepa,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0,1</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50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30000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Liepa,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80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1000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3,8</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20</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1,2</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316</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Limbaži,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616</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1452</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5,5</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23</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1,4</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255</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Limbaži,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697</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1687</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6,4</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32</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1,9</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297</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Līvāni,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841</w:t>
            </w:r>
          </w:p>
        </w:tc>
        <w:tc>
          <w:tcPr>
            <w:tcW w:w="1249"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7677</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29</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341</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20,5</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707</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Līvāni,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830</w:t>
            </w:r>
          </w:p>
        </w:tc>
        <w:tc>
          <w:tcPr>
            <w:tcW w:w="1249"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7894</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29,8</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337</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20,2</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678</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Ludza,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394</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2810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10,6</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59</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3,5</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330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Ludza,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312</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2995</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11,3</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42</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2,5</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221</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Malta,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Malta,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lastRenderedPageBreak/>
              <w:t>Mālpils,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Mālpils,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Ozolnieki,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Ozolnieki,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Pļaviņas,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278</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1075</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4,1</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617</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37</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9024</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Pļaviņas,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278</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1100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4,2</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428</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25,7</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6119</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Preiļi,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750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700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2,6</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750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45</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17308</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Preiļi,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740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674</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2,5</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740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44,4</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17760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Priekule,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232</w:t>
            </w:r>
          </w:p>
        </w:tc>
        <w:tc>
          <w:tcPr>
            <w:tcW w:w="1249"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3045</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11,5</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882</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52,9</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4600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Priekule,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232</w:t>
            </w:r>
          </w:p>
        </w:tc>
        <w:tc>
          <w:tcPr>
            <w:tcW w:w="1249"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2825</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10,7</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882</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52,9</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4944</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Priekuļi,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Priekuļi,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Roja,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Roja,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Rūjiena,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200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0,8</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1987</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119,2</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149000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Rūjiena,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49</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144</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0,5</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0,2</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400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Salacgrīva,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1200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1000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3,8</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942</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56,5</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14868</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Salacgrīva,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632</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1000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3,8</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673</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40,4</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10632</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Saulkrasti,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113</w:t>
            </w:r>
          </w:p>
        </w:tc>
        <w:tc>
          <w:tcPr>
            <w:tcW w:w="1249"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5323</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20,1</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45</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2,7</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134</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Saulkrasti,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105</w:t>
            </w:r>
          </w:p>
        </w:tc>
        <w:tc>
          <w:tcPr>
            <w:tcW w:w="1249"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4737</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17,9</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42</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2,5</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140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Skrīveri,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200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699</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2,6</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Skrīveri,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200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798</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Skrunda,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1118</w:t>
            </w:r>
          </w:p>
        </w:tc>
        <w:tc>
          <w:tcPr>
            <w:tcW w:w="1249"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10800</w:t>
            </w:r>
          </w:p>
        </w:tc>
        <w:tc>
          <w:tcPr>
            <w:tcW w:w="1258"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40,8</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Skrunda,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1100</w:t>
            </w:r>
          </w:p>
        </w:tc>
        <w:tc>
          <w:tcPr>
            <w:tcW w:w="1249"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10000</w:t>
            </w:r>
          </w:p>
        </w:tc>
        <w:tc>
          <w:tcPr>
            <w:tcW w:w="1258"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37,7</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Smiltene,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246</w:t>
            </w:r>
          </w:p>
        </w:tc>
        <w:tc>
          <w:tcPr>
            <w:tcW w:w="1249"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3100</w:t>
            </w:r>
          </w:p>
        </w:tc>
        <w:tc>
          <w:tcPr>
            <w:tcW w:w="1258"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11,7</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3681</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220,9</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18880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Smiltene,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246</w:t>
            </w:r>
          </w:p>
        </w:tc>
        <w:tc>
          <w:tcPr>
            <w:tcW w:w="1249"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3200</w:t>
            </w:r>
          </w:p>
        </w:tc>
        <w:tc>
          <w:tcPr>
            <w:tcW w:w="1258"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12,1</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311</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18,7</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1545</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Stende,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Stende,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 </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Ulbroka,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245</w:t>
            </w:r>
          </w:p>
        </w:tc>
        <w:tc>
          <w:tcPr>
            <w:tcW w:w="1249"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16590</w:t>
            </w:r>
          </w:p>
        </w:tc>
        <w:tc>
          <w:tcPr>
            <w:tcW w:w="1258"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62,6</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298</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17,9</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286</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lastRenderedPageBreak/>
              <w:t>Ulbroka,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100</w:t>
            </w:r>
          </w:p>
        </w:tc>
        <w:tc>
          <w:tcPr>
            <w:tcW w:w="1249"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6635</w:t>
            </w:r>
          </w:p>
        </w:tc>
        <w:tc>
          <w:tcPr>
            <w:tcW w:w="1258"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25</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121</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7,3</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292</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Valka,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350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801</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7</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0,4</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133</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Valka,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330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642</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2,4</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7</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0,4</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167</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Vangaži,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202</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0,8</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Vangaži,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291</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1,1</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Varakļāni,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180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195</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0,7</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0,2</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286</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Varakļāni,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180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600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2,3</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0,1</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43</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Vecumnieki,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Vecumnieki,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49"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090"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632"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0</w:t>
            </w:r>
          </w:p>
        </w:tc>
        <w:tc>
          <w:tcPr>
            <w:tcW w:w="1221"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center"/>
              <w:rPr>
                <w:rFonts w:ascii="Calibri" w:hAnsi="Calibri"/>
                <w:color w:val="000000"/>
                <w:sz w:val="22"/>
                <w:szCs w:val="22"/>
              </w:rPr>
            </w:pPr>
            <w:r w:rsidRPr="00A91632">
              <w:rPr>
                <w:rFonts w:ascii="Calibri" w:hAnsi="Calibri"/>
                <w:color w:val="000000"/>
                <w:sz w:val="22"/>
                <w:szCs w:val="22"/>
              </w:rPr>
              <w:t>#DIV/0!</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Viļāni, 2016</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258</w:t>
            </w:r>
          </w:p>
        </w:tc>
        <w:tc>
          <w:tcPr>
            <w:tcW w:w="1249"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3429</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12,9</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27</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1,6</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124</w:t>
            </w:r>
          </w:p>
        </w:tc>
      </w:tr>
      <w:tr w:rsidR="00A91632" w:rsidRPr="00A91632" w:rsidTr="000A6424">
        <w:trPr>
          <w:trHeight w:val="300"/>
        </w:trPr>
        <w:tc>
          <w:tcPr>
            <w:tcW w:w="1438" w:type="dxa"/>
            <w:tcBorders>
              <w:top w:val="nil"/>
              <w:left w:val="single" w:sz="4" w:space="0" w:color="auto"/>
              <w:bottom w:val="single" w:sz="4" w:space="0" w:color="auto"/>
              <w:right w:val="single" w:sz="4" w:space="0" w:color="auto"/>
            </w:tcBorders>
            <w:shd w:val="clear" w:color="auto" w:fill="auto"/>
            <w:noWrap/>
            <w:hideMark/>
          </w:tcPr>
          <w:p w:rsidR="00A91632" w:rsidRPr="00A91632" w:rsidRDefault="00A91632" w:rsidP="00A91632">
            <w:pPr>
              <w:suppressAutoHyphens w:val="0"/>
              <w:spacing w:after="0"/>
              <w:jc w:val="left"/>
              <w:rPr>
                <w:rFonts w:ascii="Calibri" w:hAnsi="Calibri"/>
                <w:color w:val="000000"/>
                <w:sz w:val="22"/>
                <w:szCs w:val="22"/>
              </w:rPr>
            </w:pPr>
            <w:r w:rsidRPr="00A91632">
              <w:rPr>
                <w:rFonts w:ascii="Calibri" w:hAnsi="Calibri"/>
                <w:color w:val="000000"/>
                <w:sz w:val="22"/>
                <w:szCs w:val="22"/>
              </w:rPr>
              <w:t>Viļāni, 2017</w:t>
            </w:r>
          </w:p>
        </w:tc>
        <w:tc>
          <w:tcPr>
            <w:tcW w:w="813"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322</w:t>
            </w:r>
          </w:p>
        </w:tc>
        <w:tc>
          <w:tcPr>
            <w:tcW w:w="1249"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3753</w:t>
            </w:r>
          </w:p>
        </w:tc>
        <w:tc>
          <w:tcPr>
            <w:tcW w:w="1258" w:type="dxa"/>
            <w:tcBorders>
              <w:top w:val="nil"/>
              <w:left w:val="nil"/>
              <w:bottom w:val="single" w:sz="4" w:space="0" w:color="auto"/>
              <w:right w:val="single" w:sz="4" w:space="0" w:color="auto"/>
            </w:tcBorders>
            <w:shd w:val="clear" w:color="auto" w:fill="auto"/>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14,2</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26</w:t>
            </w:r>
          </w:p>
        </w:tc>
        <w:tc>
          <w:tcPr>
            <w:tcW w:w="1632"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1,6</w:t>
            </w:r>
          </w:p>
        </w:tc>
        <w:tc>
          <w:tcPr>
            <w:tcW w:w="1221"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A91632" w:rsidRPr="00A91632" w:rsidRDefault="00A91632" w:rsidP="00A91632">
            <w:pPr>
              <w:suppressAutoHyphens w:val="0"/>
              <w:spacing w:after="0"/>
              <w:jc w:val="right"/>
              <w:rPr>
                <w:rFonts w:ascii="Calibri" w:hAnsi="Calibri"/>
                <w:color w:val="000000"/>
                <w:sz w:val="22"/>
                <w:szCs w:val="22"/>
              </w:rPr>
            </w:pPr>
            <w:r w:rsidRPr="00A91632">
              <w:rPr>
                <w:rFonts w:ascii="Calibri" w:hAnsi="Calibri"/>
                <w:color w:val="000000"/>
                <w:sz w:val="22"/>
                <w:szCs w:val="22"/>
              </w:rPr>
              <w:t>113</w:t>
            </w:r>
          </w:p>
        </w:tc>
      </w:tr>
    </w:tbl>
    <w:p w:rsidR="000A6424" w:rsidRDefault="000A6424" w:rsidP="00A91632">
      <w:r>
        <w:t xml:space="preserve">Dati, par kuru kvalitāti ir pamatotas šaubas, iekrāsoti sārtā krāsā. </w:t>
      </w:r>
    </w:p>
    <w:p w:rsidR="000A6424" w:rsidRDefault="000A6424" w:rsidP="00A91632"/>
    <w:p w:rsidR="000A6424" w:rsidRDefault="000A6424" w:rsidP="00A91632">
      <w:r>
        <w:t xml:space="preserve">Lai gan kopējais ievesto asenizācijas (izvedamo cisternu) ūdeņu apjoms pārsvarā ir norādīts ticamās robežās, </w:t>
      </w:r>
      <w:r w:rsidR="00941E03">
        <w:t>vietām ir uzdots milzīgs šādu ūdeņu apjoms:</w:t>
      </w:r>
    </w:p>
    <w:p w:rsidR="00941E03" w:rsidRDefault="00941E03" w:rsidP="00A91632">
      <w:r>
        <w:t>Skrunda: 10 000 – 10 800 m</w:t>
      </w:r>
      <w:r w:rsidRPr="00941E03">
        <w:rPr>
          <w:vertAlign w:val="superscript"/>
        </w:rPr>
        <w:t>3</w:t>
      </w:r>
      <w:r>
        <w:t>/gadā, vai 38 – 41 m</w:t>
      </w:r>
      <w:r w:rsidRPr="00941E03">
        <w:rPr>
          <w:vertAlign w:val="superscript"/>
        </w:rPr>
        <w:t>3</w:t>
      </w:r>
      <w:r>
        <w:t>/d,</w:t>
      </w:r>
    </w:p>
    <w:p w:rsidR="00941E03" w:rsidRDefault="00941E03" w:rsidP="00A91632">
      <w:r>
        <w:t>Ulbroka: 6635 – 16 590 m</w:t>
      </w:r>
      <w:r w:rsidRPr="00941E03">
        <w:rPr>
          <w:vertAlign w:val="superscript"/>
        </w:rPr>
        <w:t>3</w:t>
      </w:r>
      <w:r>
        <w:t>/gadā, vai 25 – 63 m</w:t>
      </w:r>
      <w:r w:rsidRPr="00941E03">
        <w:rPr>
          <w:vertAlign w:val="superscript"/>
        </w:rPr>
        <w:t>3</w:t>
      </w:r>
      <w:r>
        <w:t>/d,</w:t>
      </w:r>
    </w:p>
    <w:p w:rsidR="00941E03" w:rsidRDefault="00941E03" w:rsidP="00A91632">
      <w:r>
        <w:t>Līvāni: 7677 - 7894</w:t>
      </w:r>
      <w:r w:rsidRPr="00941E03">
        <w:t xml:space="preserve"> </w:t>
      </w:r>
      <w:r>
        <w:t>m</w:t>
      </w:r>
      <w:r w:rsidRPr="00941E03">
        <w:rPr>
          <w:vertAlign w:val="superscript"/>
        </w:rPr>
        <w:t>3</w:t>
      </w:r>
      <w:r>
        <w:t>/gadā, vai 29 – 30 m</w:t>
      </w:r>
      <w:r w:rsidRPr="00941E03">
        <w:rPr>
          <w:vertAlign w:val="superscript"/>
        </w:rPr>
        <w:t>3</w:t>
      </w:r>
      <w:r>
        <w:t>/d, utt.</w:t>
      </w:r>
    </w:p>
    <w:p w:rsidR="00941E03" w:rsidRDefault="00941E03" w:rsidP="00A91632">
      <w:r>
        <w:t>Visticamākais, kļūmes ir radušās tāpēc, ka Ū-2 forma prasa ievadīt izvedamo cisternu apjomu tūkstošos kubikmetru, un ir ļoti viegli kļūdīties, ieliekot nepareizā vietā komatu. Mērķtiecīgāk būtu prasīt vienkārši kubikmetrus, nevis to tūkstošus.</w:t>
      </w:r>
    </w:p>
    <w:p w:rsidR="00941E03" w:rsidRDefault="00941E03" w:rsidP="00A91632"/>
    <w:p w:rsidR="00941E03" w:rsidRDefault="00941E03" w:rsidP="00A91632">
      <w:r>
        <w:t>Liels skaits kļūdu ir arī saistītajos CE slodzes aprēķinos. Ja izmantojot Ū-2 formā norādīto asenizācijas (izvedamo cisternu) ūdeņu apjomu un tur uzdoto to radīto BSP</w:t>
      </w:r>
      <w:r w:rsidRPr="00941E03">
        <w:rPr>
          <w:vertAlign w:val="subscript"/>
        </w:rPr>
        <w:t>5</w:t>
      </w:r>
      <w:r>
        <w:t xml:space="preserve"> slodzi (izteiktu kā CE, vai BSP</w:t>
      </w:r>
      <w:r w:rsidRPr="00941E03">
        <w:rPr>
          <w:vertAlign w:val="subscript"/>
        </w:rPr>
        <w:t>5</w:t>
      </w:r>
      <w:r>
        <w:t xml:space="preserve"> (mg/L)), iegūstam virkni maz ticamu rezultātu.</w:t>
      </w:r>
    </w:p>
    <w:p w:rsidR="00941E03" w:rsidRDefault="00941E03" w:rsidP="00A91632">
      <w:r>
        <w:t>Atskaites 1. daļā bija norādītas 10 asenizācijas ūdeņu paraugos novērotās BSP</w:t>
      </w:r>
      <w:r w:rsidRPr="00941E03">
        <w:rPr>
          <w:vertAlign w:val="subscript"/>
        </w:rPr>
        <w:t>5</w:t>
      </w:r>
      <w:r>
        <w:t xml:space="preserve"> koncentrācijas. Lai gan daļā paraugu tās bija visai zemas, pārsvarā BSP</w:t>
      </w:r>
      <w:r w:rsidRPr="00941E03">
        <w:rPr>
          <w:vertAlign w:val="subscript"/>
        </w:rPr>
        <w:t>5</w:t>
      </w:r>
      <w:r>
        <w:t xml:space="preserve"> vērtības bija &gt;10 000 mg/L. Tāpēc ir maz ticams, ka </w:t>
      </w:r>
      <w:r w:rsidR="00AB6F08">
        <w:t>vidējais ievesto asenizācijas ūdeņu BSP</w:t>
      </w:r>
      <w:r w:rsidR="00AB6F08" w:rsidRPr="00AB6F08">
        <w:rPr>
          <w:vertAlign w:val="subscript"/>
        </w:rPr>
        <w:t>5</w:t>
      </w:r>
      <w:r w:rsidR="00AB6F08">
        <w:t xml:space="preserve"> varētu būt 43 – 700 mg/L robežās. </w:t>
      </w:r>
    </w:p>
    <w:p w:rsidR="00AB6F08" w:rsidRDefault="00AB6F08" w:rsidP="00A91632">
      <w:r>
        <w:t>Kļūda var būt arī uz otru pusi, kur Rūjienā 2016. g. sanāk, ka asenizācijas ūdeņos būtu jābūt vidēji 149 000 mg/L BSP</w:t>
      </w:r>
      <w:r w:rsidRPr="00AB6F08">
        <w:rPr>
          <w:vertAlign w:val="subscript"/>
        </w:rPr>
        <w:t>5</w:t>
      </w:r>
      <w:r>
        <w:t xml:space="preserve"> (2017. g. tikai 400 mg/L).</w:t>
      </w:r>
    </w:p>
    <w:p w:rsidR="00AB6F08" w:rsidRDefault="00AB6F08" w:rsidP="00A91632">
      <w:r>
        <w:t>Jāsecina, ka ūdenssaimniecību personālam bieži vien nav īstas skaidrības par asenizācijas ūdeņu piesārņojuma līmeni un par tā pārrēķinu CE slodzes ekvivalentā.</w:t>
      </w:r>
    </w:p>
    <w:p w:rsidR="00AB6F08" w:rsidRDefault="00AB6F08" w:rsidP="00A91632"/>
    <w:p w:rsidR="000A6424" w:rsidRDefault="00AB6F08" w:rsidP="00A91632">
      <w:r>
        <w:t>Kopējais secinājums: Ū-2 formās pieejamie asenizācijas (izvedamo cisternu) ūdeņu dati ir tik sliktas kvalitātes, ka nav izmantojami aprēķinos un neļauj izdarīt secinājumus par to radīto piesārņojuma slodzi.</w:t>
      </w:r>
    </w:p>
    <w:p w:rsidR="00AB6F08" w:rsidRDefault="00AB6F08" w:rsidP="00A91632">
      <w:r>
        <w:t xml:space="preserve">Secinājums ir ļoti nepatīkams, jo asenizācijas (izvedamo cisternu) ūdeņi rada ļoti būtisku slodzes daļu mazāko aglomerāciju </w:t>
      </w:r>
      <w:r w:rsidR="009E37B8">
        <w:t>notekūdeņu attīrīšanas ietaisēs.</w:t>
      </w:r>
    </w:p>
    <w:p w:rsidR="009E37B8" w:rsidRDefault="009E37B8" w:rsidP="00A91632"/>
    <w:p w:rsidR="009E37B8" w:rsidRDefault="009E37B8" w:rsidP="009E37B8">
      <w:pPr>
        <w:pStyle w:val="Heading2"/>
      </w:pPr>
      <w:bookmarkStart w:id="7" w:name="_Ref531706209"/>
      <w:bookmarkStart w:id="8" w:name="_Toc531780713"/>
      <w:r>
        <w:t>Notekūdeņu plūsmas analīze</w:t>
      </w:r>
      <w:bookmarkEnd w:id="7"/>
      <w:bookmarkEnd w:id="8"/>
    </w:p>
    <w:p w:rsidR="00CF09D6" w:rsidRDefault="00CF09D6" w:rsidP="009E37B8">
      <w:r>
        <w:t>Aglomerāciju ūdenssaimniecību pārstāvjiem izsūtītajās datu lapās tika lūgts atsūtīt notekūdeņu attīrīšanas ietaišu caurplūdes datus par 2016. – 2017. g.</w:t>
      </w:r>
    </w:p>
    <w:p w:rsidR="009E37B8" w:rsidRDefault="00CF09D6" w:rsidP="00CF09D6">
      <w:r>
        <w:t xml:space="preserve">Virkne aglomerāciju šādus datus iesniedza. daļa no tiem bija optimāli strukturēti, norādot katras dienas notekūdeņu caurplūdi, citas aglomerācijas iesniedza datus, kuros caurplūde bija norādīta nevis pa dienām, bet tikai pa mēnešiem. Apmēram puse aglomerāciju neiesniedza nekādus plūsmas datus, un tie ir paņemti no Ū-2 formām. </w:t>
      </w:r>
    </w:p>
    <w:p w:rsidR="00CF09D6" w:rsidRDefault="00CF09D6" w:rsidP="00CF09D6">
      <w:r>
        <w:t xml:space="preserve">Iesniegtie caurplūdes dati un ar tiem saistītie grafiki ir pievienoti šī dokumenta </w:t>
      </w:r>
      <w:r w:rsidR="00472F4F">
        <w:t>1</w:t>
      </w:r>
      <w:r>
        <w:t>. pielikumā.</w:t>
      </w:r>
    </w:p>
    <w:p w:rsidR="00CF09D6" w:rsidRDefault="00CF09D6" w:rsidP="00CF09D6">
      <w:r>
        <w:t>Lai izanalizētu notekūdeņu plūsmu, tika salīdzināti sekojoši rādītāji:</w:t>
      </w:r>
    </w:p>
    <w:p w:rsidR="00CF09D6" w:rsidRDefault="00CF09D6" w:rsidP="00CF09D6">
      <w:pPr>
        <w:pStyle w:val="ListParagraph"/>
        <w:numPr>
          <w:ilvl w:val="0"/>
          <w:numId w:val="11"/>
        </w:numPr>
      </w:pPr>
      <w:r>
        <w:t>projektētā NAI caurplūde (m</w:t>
      </w:r>
      <w:r w:rsidRPr="00CF09D6">
        <w:rPr>
          <w:vertAlign w:val="superscript"/>
        </w:rPr>
        <w:t>3</w:t>
      </w:r>
      <w:r>
        <w:t>/d),</w:t>
      </w:r>
    </w:p>
    <w:p w:rsidR="00CF09D6" w:rsidRDefault="00CF09D6" w:rsidP="00CF09D6">
      <w:pPr>
        <w:pStyle w:val="ListParagraph"/>
        <w:numPr>
          <w:ilvl w:val="0"/>
          <w:numId w:val="11"/>
        </w:numPr>
      </w:pPr>
      <w:r>
        <w:t>2016. g. vidējā caurplūde (m</w:t>
      </w:r>
      <w:r w:rsidRPr="00CF09D6">
        <w:rPr>
          <w:vertAlign w:val="superscript"/>
        </w:rPr>
        <w:t>3</w:t>
      </w:r>
      <w:r>
        <w:t>/d),</w:t>
      </w:r>
    </w:p>
    <w:p w:rsidR="00CF09D6" w:rsidRDefault="00CF09D6" w:rsidP="00CF09D6">
      <w:pPr>
        <w:pStyle w:val="ListParagraph"/>
        <w:numPr>
          <w:ilvl w:val="0"/>
          <w:numId w:val="11"/>
        </w:numPr>
      </w:pPr>
      <w:r>
        <w:t>2016. g. vidējā caurplūde (m</w:t>
      </w:r>
      <w:r w:rsidRPr="00CF09D6">
        <w:rPr>
          <w:vertAlign w:val="superscript"/>
        </w:rPr>
        <w:t>3</w:t>
      </w:r>
      <w:r>
        <w:t>/d),</w:t>
      </w:r>
    </w:p>
    <w:p w:rsidR="00CF09D6" w:rsidRDefault="00CF09D6" w:rsidP="00CF09D6">
      <w:pPr>
        <w:pStyle w:val="ListParagraph"/>
        <w:numPr>
          <w:ilvl w:val="0"/>
          <w:numId w:val="11"/>
        </w:numPr>
      </w:pPr>
      <w:r>
        <w:t>sausā laika caurplūde (kur tā bija pieejama par 2018. g.).</w:t>
      </w:r>
    </w:p>
    <w:p w:rsidR="00CF09D6" w:rsidRDefault="00CF09D6" w:rsidP="00CF09D6">
      <w:r>
        <w:t>Tur, kur plūsmas dati nebija pieejami, kā sausā laika caurplūde tika izmantota aptuvena 2016. – 2017. g. vidējā plūsmas vērtība. Šāda metode nav atzīstama par gluži korektu, taču citas izvēles nebija.</w:t>
      </w:r>
    </w:p>
    <w:p w:rsidR="00CF09D6" w:rsidRDefault="00CF09D6" w:rsidP="00CF09D6">
      <w:pPr>
        <w:pStyle w:val="Caption"/>
        <w:keepNext/>
      </w:pPr>
      <w:bookmarkStart w:id="9" w:name="_Toc531780785"/>
      <w:r>
        <w:lastRenderedPageBreak/>
        <w:t xml:space="preserve">Grafiks </w:t>
      </w:r>
      <w:r w:rsidR="001B2A9D">
        <w:rPr>
          <w:noProof/>
        </w:rPr>
        <w:fldChar w:fldCharType="begin"/>
      </w:r>
      <w:r w:rsidR="001B2A9D">
        <w:rPr>
          <w:noProof/>
        </w:rPr>
        <w:instrText xml:space="preserve"> SEQ Grafiks \* ARABIC </w:instrText>
      </w:r>
      <w:r w:rsidR="001B2A9D">
        <w:rPr>
          <w:noProof/>
        </w:rPr>
        <w:fldChar w:fldCharType="separate"/>
      </w:r>
      <w:r w:rsidR="000E7FDF">
        <w:rPr>
          <w:noProof/>
        </w:rPr>
        <w:t>1</w:t>
      </w:r>
      <w:r w:rsidR="001B2A9D">
        <w:rPr>
          <w:noProof/>
        </w:rPr>
        <w:fldChar w:fldCharType="end"/>
      </w:r>
      <w:r>
        <w:t xml:space="preserve">. </w:t>
      </w:r>
      <w:r w:rsidRPr="00CF09D6">
        <w:t>Projektētās un reālās caurplūdes salīdzinājums pētījumā iesaistītajās aglomerācijās (1. daļa)</w:t>
      </w:r>
      <w:bookmarkEnd w:id="9"/>
    </w:p>
    <w:p w:rsidR="00CF09D6" w:rsidRDefault="00CF09D6" w:rsidP="00CF09D6">
      <w:r>
        <w:rPr>
          <w:noProof/>
        </w:rPr>
        <w:drawing>
          <wp:inline distT="0" distB="0" distL="0" distR="0" wp14:anchorId="3B65916A" wp14:editId="42885617">
            <wp:extent cx="5486400" cy="3582035"/>
            <wp:effectExtent l="0" t="0" r="19050"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F09D6" w:rsidRDefault="00CF09D6" w:rsidP="00CF09D6"/>
    <w:p w:rsidR="00CF09D6" w:rsidRDefault="00CF09D6" w:rsidP="00CF09D6">
      <w:pPr>
        <w:pStyle w:val="Caption"/>
        <w:keepNext/>
      </w:pPr>
      <w:bookmarkStart w:id="10" w:name="_Toc531780786"/>
      <w:r>
        <w:t xml:space="preserve">Grafiks </w:t>
      </w:r>
      <w:r w:rsidR="001B2A9D">
        <w:rPr>
          <w:noProof/>
        </w:rPr>
        <w:fldChar w:fldCharType="begin"/>
      </w:r>
      <w:r w:rsidR="001B2A9D">
        <w:rPr>
          <w:noProof/>
        </w:rPr>
        <w:instrText xml:space="preserve"> SEQ Grafiks \* ARABIC </w:instrText>
      </w:r>
      <w:r w:rsidR="001B2A9D">
        <w:rPr>
          <w:noProof/>
        </w:rPr>
        <w:fldChar w:fldCharType="separate"/>
      </w:r>
      <w:r w:rsidR="000E7FDF">
        <w:rPr>
          <w:noProof/>
        </w:rPr>
        <w:t>2</w:t>
      </w:r>
      <w:r w:rsidR="001B2A9D">
        <w:rPr>
          <w:noProof/>
        </w:rPr>
        <w:fldChar w:fldCharType="end"/>
      </w:r>
      <w:r>
        <w:t xml:space="preserve">. </w:t>
      </w:r>
      <w:r w:rsidRPr="00CF09D6">
        <w:t>Projektētās un reālās caurplūdes salīdzinājums pētījumā iesaistītajās aglomerācijās (2. daļa)</w:t>
      </w:r>
      <w:bookmarkEnd w:id="10"/>
    </w:p>
    <w:p w:rsidR="00CF09D6" w:rsidRDefault="00CF09D6" w:rsidP="00CF09D6">
      <w:r>
        <w:rPr>
          <w:noProof/>
        </w:rPr>
        <w:drawing>
          <wp:inline distT="0" distB="0" distL="0" distR="0" wp14:anchorId="035B8E3F" wp14:editId="6A6CAADA">
            <wp:extent cx="5486400" cy="3582035"/>
            <wp:effectExtent l="0" t="0" r="19050"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F09D6" w:rsidRDefault="00CF09D6" w:rsidP="00CF09D6"/>
    <w:p w:rsidR="000D41F6" w:rsidRDefault="000D41F6" w:rsidP="000D41F6">
      <w:pPr>
        <w:pStyle w:val="Caption"/>
        <w:keepNext/>
      </w:pPr>
      <w:bookmarkStart w:id="11" w:name="_Toc531780787"/>
      <w:r>
        <w:lastRenderedPageBreak/>
        <w:t xml:space="preserve">Grafiks </w:t>
      </w:r>
      <w:r w:rsidR="001B2A9D">
        <w:rPr>
          <w:noProof/>
        </w:rPr>
        <w:fldChar w:fldCharType="begin"/>
      </w:r>
      <w:r w:rsidR="001B2A9D">
        <w:rPr>
          <w:noProof/>
        </w:rPr>
        <w:instrText xml:space="preserve"> SEQ Grafiks \* ARABIC </w:instrText>
      </w:r>
      <w:r w:rsidR="001B2A9D">
        <w:rPr>
          <w:noProof/>
        </w:rPr>
        <w:fldChar w:fldCharType="separate"/>
      </w:r>
      <w:r w:rsidR="000E7FDF">
        <w:rPr>
          <w:noProof/>
        </w:rPr>
        <w:t>3</w:t>
      </w:r>
      <w:r w:rsidR="001B2A9D">
        <w:rPr>
          <w:noProof/>
        </w:rPr>
        <w:fldChar w:fldCharType="end"/>
      </w:r>
      <w:r>
        <w:t xml:space="preserve">. </w:t>
      </w:r>
      <w:r w:rsidRPr="000D41F6">
        <w:t>Projektētās un reālās caurplūdes salīdzinājums pētījumā iesaistītajās aglomerācijās (3. daļa)</w:t>
      </w:r>
      <w:bookmarkEnd w:id="11"/>
    </w:p>
    <w:p w:rsidR="00CF09D6" w:rsidRDefault="00CF09D6" w:rsidP="00CF09D6">
      <w:r>
        <w:rPr>
          <w:noProof/>
        </w:rPr>
        <w:drawing>
          <wp:inline distT="0" distB="0" distL="0" distR="0" wp14:anchorId="65E34E3A" wp14:editId="5C3CE986">
            <wp:extent cx="5486400" cy="3582035"/>
            <wp:effectExtent l="0" t="0" r="19050" b="184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D41F6" w:rsidRDefault="000D41F6" w:rsidP="00CF09D6"/>
    <w:p w:rsidR="00445531" w:rsidRDefault="000D41F6" w:rsidP="00CF09D6">
      <w:r>
        <w:t>Pievienotie grafiki uzskatāmi parāda, ka pilnīgi visās notekūdeņu attīrīšanas ietaisēs (NAI) projektētā caurplūde ir ievērojami lielāka par faktisko. Tas ir likumsakarīgi, jo liela daļa NAI tika projektēta laikā, kad ūdensskaitītāji mājsaimniecībās vēl nebija tik plaši izplatīti un ūdens patēriņš uz 1 cilvēku bija lielāks. Vietām NAI hidrauliskā kapacitāte tika pat aplēsta nevis pēc faktiskās pieteces (jo tādu datu nebija), bet gan pēc normatīva, ka 1 iedzīvotājs diennaktī saražo ap 200 L notekūdeņu. Faktiskais 1 cilvēka saražoto notekūdeņu apjoms šodien ir tikai ap 100 L, vai pat vēl mazāks.</w:t>
      </w:r>
    </w:p>
    <w:p w:rsidR="000D41F6" w:rsidRDefault="000D41F6" w:rsidP="00CF09D6">
      <w:r>
        <w:t>Zīmīgi, ka par spīti ļoti slapjajam 2017. gadam, atšķirība starp 2016. un 2017. g. notekūdeņu apjomu pārsvarā ir neliela. Tas nozīmē, ka kanalizācijas cauruļvadu sistēmas ir labā kārtībā un infiltrācijas apjoms ir neliels. Šeit gan ir arī daži izņēmumi, pārsvarā Latgales aglomerācijas, kur 2017. g. bija sevišķi nokrišņiem bagāts, un arī Aizpute.</w:t>
      </w:r>
    </w:p>
    <w:p w:rsidR="000D41F6" w:rsidRDefault="000D41F6" w:rsidP="00CF09D6"/>
    <w:p w:rsidR="00893603" w:rsidRDefault="00893603" w:rsidP="00893603">
      <w:r>
        <w:t>Svarīgs praktisks secinājums ir – tā kā faktiskā hidrauliskā slodze uz NAI ir ievērojami mazāka par projektēto, notekūdeņu uzturēšanās laiks bioloģiskās attīrīšanas baseinos ir būtiski lielāks, un NAI tāpēc spēj uzņemt lielāku piesārņojuma slodzi.</w:t>
      </w:r>
    </w:p>
    <w:p w:rsidR="00893603" w:rsidRDefault="00893603" w:rsidP="00CF09D6"/>
    <w:p w:rsidR="00893603" w:rsidRDefault="00893603" w:rsidP="00CF09D6">
      <w:r>
        <w:t>Hidrauliskās slodzes datus var izvērtēt arī citā griezumā: kādu ūdens daudzumu uz attīrīšanas ietaisēm novada 1 “pieslēgtais” iedzīvotājs.</w:t>
      </w:r>
    </w:p>
    <w:p w:rsidR="00893603" w:rsidRDefault="00893603" w:rsidP="00CF09D6"/>
    <w:p w:rsidR="00893603" w:rsidRDefault="00893603" w:rsidP="00893603">
      <w:pPr>
        <w:pStyle w:val="Caption"/>
        <w:keepNext/>
      </w:pPr>
      <w:bookmarkStart w:id="12" w:name="_Toc531780788"/>
      <w:r>
        <w:lastRenderedPageBreak/>
        <w:t xml:space="preserve">Grafiks </w:t>
      </w:r>
      <w:r w:rsidR="001B2A9D">
        <w:rPr>
          <w:noProof/>
        </w:rPr>
        <w:fldChar w:fldCharType="begin"/>
      </w:r>
      <w:r w:rsidR="001B2A9D">
        <w:rPr>
          <w:noProof/>
        </w:rPr>
        <w:instrText xml:space="preserve"> SEQ Grafiks \* ARABIC </w:instrText>
      </w:r>
      <w:r w:rsidR="001B2A9D">
        <w:rPr>
          <w:noProof/>
        </w:rPr>
        <w:fldChar w:fldCharType="separate"/>
      </w:r>
      <w:r w:rsidR="000E7FDF">
        <w:rPr>
          <w:noProof/>
        </w:rPr>
        <w:t>4</w:t>
      </w:r>
      <w:r w:rsidR="001B2A9D">
        <w:rPr>
          <w:noProof/>
        </w:rPr>
        <w:fldChar w:fldCharType="end"/>
      </w:r>
      <w:r>
        <w:t xml:space="preserve">. </w:t>
      </w:r>
      <w:r w:rsidRPr="00893603">
        <w:t>Projektētās un reālās caurplūdes uz 1 pieslēgtu cilvēku salīdzinājums pētījumā iesaistītajās aglomerācijās (1. daļa)</w:t>
      </w:r>
      <w:bookmarkEnd w:id="12"/>
    </w:p>
    <w:p w:rsidR="00893603" w:rsidRDefault="00893603" w:rsidP="00CF09D6">
      <w:r>
        <w:rPr>
          <w:noProof/>
        </w:rPr>
        <w:drawing>
          <wp:inline distT="0" distB="0" distL="0" distR="0" wp14:anchorId="4F09D739" wp14:editId="47927FB2">
            <wp:extent cx="5486400" cy="3582035"/>
            <wp:effectExtent l="0" t="0" r="19050" b="1841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93603" w:rsidRDefault="00893603" w:rsidP="00CF09D6"/>
    <w:p w:rsidR="00893603" w:rsidRDefault="00893603" w:rsidP="00893603">
      <w:pPr>
        <w:pStyle w:val="Caption"/>
        <w:keepNext/>
      </w:pPr>
      <w:bookmarkStart w:id="13" w:name="_Toc531780789"/>
      <w:r>
        <w:t xml:space="preserve">Grafiks </w:t>
      </w:r>
      <w:r w:rsidR="001B2A9D">
        <w:rPr>
          <w:noProof/>
        </w:rPr>
        <w:fldChar w:fldCharType="begin"/>
      </w:r>
      <w:r w:rsidR="001B2A9D">
        <w:rPr>
          <w:noProof/>
        </w:rPr>
        <w:instrText xml:space="preserve"> SEQ Grafiks \* ARABIC </w:instrText>
      </w:r>
      <w:r w:rsidR="001B2A9D">
        <w:rPr>
          <w:noProof/>
        </w:rPr>
        <w:fldChar w:fldCharType="separate"/>
      </w:r>
      <w:r w:rsidR="000E7FDF">
        <w:rPr>
          <w:noProof/>
        </w:rPr>
        <w:t>5</w:t>
      </w:r>
      <w:r w:rsidR="001B2A9D">
        <w:rPr>
          <w:noProof/>
        </w:rPr>
        <w:fldChar w:fldCharType="end"/>
      </w:r>
      <w:r>
        <w:t xml:space="preserve">. </w:t>
      </w:r>
      <w:r w:rsidRPr="00893603">
        <w:t>Projektētās un reālās caurplūdes uz 1 pieslēgtu cilvēku salīdzinājums pētījumā iesaistītajās aglomerācijās (2. daļa)</w:t>
      </w:r>
      <w:bookmarkEnd w:id="13"/>
    </w:p>
    <w:p w:rsidR="00893603" w:rsidRDefault="00893603" w:rsidP="00CF09D6">
      <w:r>
        <w:rPr>
          <w:noProof/>
        </w:rPr>
        <w:drawing>
          <wp:inline distT="0" distB="0" distL="0" distR="0" wp14:anchorId="3E671908" wp14:editId="143827BE">
            <wp:extent cx="5486400" cy="3582035"/>
            <wp:effectExtent l="0" t="0" r="19050" b="1841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93603" w:rsidRDefault="00893603" w:rsidP="00CF09D6"/>
    <w:p w:rsidR="00893603" w:rsidRPr="00893603" w:rsidRDefault="00893603" w:rsidP="00893603">
      <w:pPr>
        <w:pStyle w:val="Caption"/>
        <w:keepNext/>
      </w:pPr>
      <w:bookmarkStart w:id="14" w:name="_Toc531780790"/>
      <w:r>
        <w:lastRenderedPageBreak/>
        <w:t xml:space="preserve">Grafiks </w:t>
      </w:r>
      <w:r w:rsidR="001B2A9D">
        <w:rPr>
          <w:noProof/>
        </w:rPr>
        <w:fldChar w:fldCharType="begin"/>
      </w:r>
      <w:r w:rsidR="001B2A9D">
        <w:rPr>
          <w:noProof/>
        </w:rPr>
        <w:instrText xml:space="preserve"> SEQ Grafiks \* ARABIC </w:instrText>
      </w:r>
      <w:r w:rsidR="001B2A9D">
        <w:rPr>
          <w:noProof/>
        </w:rPr>
        <w:fldChar w:fldCharType="separate"/>
      </w:r>
      <w:r w:rsidR="000E7FDF">
        <w:rPr>
          <w:noProof/>
        </w:rPr>
        <w:t>6</w:t>
      </w:r>
      <w:r w:rsidR="001B2A9D">
        <w:rPr>
          <w:noProof/>
        </w:rPr>
        <w:fldChar w:fldCharType="end"/>
      </w:r>
      <w:r>
        <w:t xml:space="preserve">. </w:t>
      </w:r>
      <w:r w:rsidRPr="00893603">
        <w:t>Projektētās un reālās caurplūdes uz 1 pieslēgtu cilvēku salīdzinājums pētījumā iesaistītajās aglomerācijās (3. daļa)</w:t>
      </w:r>
      <w:bookmarkEnd w:id="14"/>
      <w:r w:rsidRPr="00893603">
        <w:t xml:space="preserve"> </w:t>
      </w:r>
    </w:p>
    <w:p w:rsidR="00893603" w:rsidRDefault="00893603" w:rsidP="00CF09D6">
      <w:r>
        <w:rPr>
          <w:noProof/>
        </w:rPr>
        <w:drawing>
          <wp:inline distT="0" distB="0" distL="0" distR="0" wp14:anchorId="73BCAEC0" wp14:editId="2888F8CF">
            <wp:extent cx="5486400" cy="3582035"/>
            <wp:effectExtent l="0" t="0" r="19050" b="1841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93603" w:rsidRDefault="00893603" w:rsidP="00CF09D6"/>
    <w:p w:rsidR="00E9563D" w:rsidRDefault="00E9563D" w:rsidP="00CF09D6">
      <w:r>
        <w:t xml:space="preserve">Grafiki parāda, ka pirmkārt, lielajā vairumā gadījumu, projektētā plūsma uz 1 cilvēku ir lielāka par faktisko (proporcija aprēķināta izdalot Ū-2 norādīto projektēto caurplūdi ar projektēto CE skaitu). </w:t>
      </w:r>
    </w:p>
    <w:p w:rsidR="00E9563D" w:rsidRDefault="00E9563D" w:rsidP="00CF09D6">
      <w:r>
        <w:t>Vietām tā pat rada šaubas par Ū-2 ievadīto datu pareizību. Ir grūti noticēt, ka Viļānos NAI projektētas ar aprēķinu, ka 1 iedzīvotājs dienā saražos &gt;1,4 m</w:t>
      </w:r>
      <w:r w:rsidRPr="00E9563D">
        <w:rPr>
          <w:vertAlign w:val="superscript"/>
        </w:rPr>
        <w:t>3</w:t>
      </w:r>
      <w:r>
        <w:t xml:space="preserve"> notekūdeņu (Skrundā: ap 800 L, Vangažos: ap 900 L, utt.).</w:t>
      </w:r>
    </w:p>
    <w:p w:rsidR="00E9563D" w:rsidRDefault="00E9563D" w:rsidP="00CF09D6">
      <w:r>
        <w:t xml:space="preserve">Reālais saražoto notekūdeņu apjoms pārsvarā svārstās 100 – 200 L/cilvēku robežās. Tas ir visumā ticams rādītājs. </w:t>
      </w:r>
    </w:p>
    <w:p w:rsidR="000D41F6" w:rsidRDefault="000D41F6" w:rsidP="00CF09D6"/>
    <w:p w:rsidR="000D41F6" w:rsidRDefault="00445531" w:rsidP="000D41F6">
      <w:pPr>
        <w:pStyle w:val="Heading2"/>
      </w:pPr>
      <w:bookmarkStart w:id="15" w:name="_Toc531780714"/>
      <w:r>
        <w:t>BSP</w:t>
      </w:r>
      <w:r w:rsidRPr="00445531">
        <w:rPr>
          <w:vertAlign w:val="subscript"/>
        </w:rPr>
        <w:t>5</w:t>
      </w:r>
      <w:r w:rsidR="000D41F6">
        <w:t xml:space="preserve"> slodzes analīze</w:t>
      </w:r>
      <w:bookmarkEnd w:id="15"/>
    </w:p>
    <w:p w:rsidR="00445531" w:rsidRPr="00445531" w:rsidRDefault="00445531" w:rsidP="000D41F6">
      <w:r>
        <w:t>Saskaņā ar Ministru kabineta noteikumiem Nr. 34 no 2002. g. 22. janvāra, viens cilvēks diennaktī saražo 60 g BSP</w:t>
      </w:r>
      <w:r w:rsidRPr="00445531">
        <w:rPr>
          <w:vertAlign w:val="subscript"/>
        </w:rPr>
        <w:t>5</w:t>
      </w:r>
      <w:r>
        <w:t xml:space="preserve"> – kas atbilst 1 cilvēka ekvivalentam (CE).</w:t>
      </w:r>
    </w:p>
    <w:p w:rsidR="000D41F6" w:rsidRDefault="00445531" w:rsidP="000D41F6">
      <w:r>
        <w:t>Lai izvērtētu BSP</w:t>
      </w:r>
      <w:r w:rsidRPr="00445531">
        <w:rPr>
          <w:vertAlign w:val="subscript"/>
        </w:rPr>
        <w:t>5</w:t>
      </w:r>
      <w:r>
        <w:t xml:space="preserve"> slodzi uz notekūdeņu attīrīšanas ietaisēm, </w:t>
      </w:r>
      <w:r w:rsidR="000D41F6">
        <w:t>tika salīdzināti sekojoši rādītāji:</w:t>
      </w:r>
    </w:p>
    <w:p w:rsidR="000D41F6" w:rsidRDefault="000D41F6" w:rsidP="000D41F6">
      <w:pPr>
        <w:pStyle w:val="ListParagraph"/>
        <w:numPr>
          <w:ilvl w:val="0"/>
          <w:numId w:val="11"/>
        </w:numPr>
      </w:pPr>
      <w:r>
        <w:t xml:space="preserve">projektētā NAI </w:t>
      </w:r>
      <w:r w:rsidR="00445531">
        <w:t>BSP</w:t>
      </w:r>
      <w:r w:rsidR="00445531" w:rsidRPr="00445531">
        <w:rPr>
          <w:vertAlign w:val="subscript"/>
        </w:rPr>
        <w:t>5</w:t>
      </w:r>
      <w:r w:rsidR="00445531">
        <w:t xml:space="preserve"> slodze (izteikta CE)</w:t>
      </w:r>
      <w:r>
        <w:t>,</w:t>
      </w:r>
    </w:p>
    <w:p w:rsidR="000D41F6" w:rsidRDefault="000D41F6" w:rsidP="000D41F6">
      <w:pPr>
        <w:pStyle w:val="ListParagraph"/>
        <w:numPr>
          <w:ilvl w:val="0"/>
          <w:numId w:val="11"/>
        </w:numPr>
      </w:pPr>
      <w:r>
        <w:t xml:space="preserve">2016. g. vidējā </w:t>
      </w:r>
      <w:r w:rsidR="00445531">
        <w:t>BSP</w:t>
      </w:r>
      <w:r w:rsidR="00445531" w:rsidRPr="00445531">
        <w:rPr>
          <w:vertAlign w:val="subscript"/>
        </w:rPr>
        <w:t>5</w:t>
      </w:r>
      <w:r w:rsidR="00445531">
        <w:t xml:space="preserve"> slodze (izteikta CE)</w:t>
      </w:r>
      <w:r>
        <w:t>,</w:t>
      </w:r>
    </w:p>
    <w:p w:rsidR="000D41F6" w:rsidRDefault="000D41F6" w:rsidP="000D41F6">
      <w:pPr>
        <w:pStyle w:val="ListParagraph"/>
        <w:numPr>
          <w:ilvl w:val="0"/>
          <w:numId w:val="11"/>
        </w:numPr>
      </w:pPr>
      <w:r>
        <w:t xml:space="preserve">2016. g. vidējā </w:t>
      </w:r>
      <w:r w:rsidR="00445531">
        <w:t>BSP</w:t>
      </w:r>
      <w:r w:rsidR="00445531" w:rsidRPr="00445531">
        <w:rPr>
          <w:vertAlign w:val="subscript"/>
        </w:rPr>
        <w:t>5</w:t>
      </w:r>
      <w:r w:rsidR="00445531">
        <w:t xml:space="preserve"> slodze (izteikta CE)</w:t>
      </w:r>
      <w:r>
        <w:t>,</w:t>
      </w:r>
    </w:p>
    <w:p w:rsidR="000D41F6" w:rsidRDefault="000D41F6" w:rsidP="000D41F6">
      <w:pPr>
        <w:pStyle w:val="ListParagraph"/>
        <w:numPr>
          <w:ilvl w:val="0"/>
          <w:numId w:val="11"/>
        </w:numPr>
      </w:pPr>
      <w:r>
        <w:t xml:space="preserve">sausā laika </w:t>
      </w:r>
      <w:r w:rsidR="00445531">
        <w:t>BSP</w:t>
      </w:r>
      <w:r w:rsidR="00445531" w:rsidRPr="00445531">
        <w:rPr>
          <w:vertAlign w:val="subscript"/>
        </w:rPr>
        <w:t>5</w:t>
      </w:r>
      <w:r w:rsidR="00445531">
        <w:t xml:space="preserve"> slodze (izteikta CE) </w:t>
      </w:r>
      <w:r>
        <w:t>(</w:t>
      </w:r>
      <w:r w:rsidR="00445531">
        <w:t>aprēķināta, izmantojot apsekošanas laikā savākto paraugu BSP</w:t>
      </w:r>
      <w:r w:rsidR="00445531" w:rsidRPr="00445531">
        <w:rPr>
          <w:vertAlign w:val="subscript"/>
        </w:rPr>
        <w:t>5</w:t>
      </w:r>
      <w:r w:rsidR="00445531">
        <w:t xml:space="preserve"> datus un sausā laika caurplūdi - </w:t>
      </w:r>
      <w:r>
        <w:t>kur tā bija pieejama par 2018. g.).</w:t>
      </w:r>
    </w:p>
    <w:p w:rsidR="000D41F6" w:rsidRDefault="000D41F6" w:rsidP="000D41F6">
      <w:r>
        <w:lastRenderedPageBreak/>
        <w:t>Tur, kur plūsmas dati nebija pieejami, kā sausā laika caurplūde tika izmantota aptuvena 2016. – 2017. g. vidējā plūsmas vērtība. Šāda metode nav atzīstama par gluži korektu, taču citas izvēles nebija.</w:t>
      </w:r>
    </w:p>
    <w:p w:rsidR="00445531" w:rsidRDefault="00445531" w:rsidP="000D41F6"/>
    <w:p w:rsidR="00445531" w:rsidRDefault="00445531" w:rsidP="00445531">
      <w:pPr>
        <w:pStyle w:val="Caption"/>
        <w:keepNext/>
      </w:pPr>
      <w:bookmarkStart w:id="16" w:name="_Toc531780791"/>
      <w:r>
        <w:t xml:space="preserve">Grafiks </w:t>
      </w:r>
      <w:r w:rsidR="001B2A9D">
        <w:rPr>
          <w:noProof/>
        </w:rPr>
        <w:fldChar w:fldCharType="begin"/>
      </w:r>
      <w:r w:rsidR="001B2A9D">
        <w:rPr>
          <w:noProof/>
        </w:rPr>
        <w:instrText xml:space="preserve"> SEQ Grafiks \* ARABIC </w:instrText>
      </w:r>
      <w:r w:rsidR="001B2A9D">
        <w:rPr>
          <w:noProof/>
        </w:rPr>
        <w:fldChar w:fldCharType="separate"/>
      </w:r>
      <w:r w:rsidR="000E7FDF">
        <w:rPr>
          <w:noProof/>
        </w:rPr>
        <w:t>7</w:t>
      </w:r>
      <w:r w:rsidR="001B2A9D">
        <w:rPr>
          <w:noProof/>
        </w:rPr>
        <w:fldChar w:fldCharType="end"/>
      </w:r>
      <w:r>
        <w:t xml:space="preserve">. </w:t>
      </w:r>
      <w:r w:rsidRPr="00445531">
        <w:t>Projektētās un reālās BSP5 slodzes (izteikta CE) salīdzinājums pētījumā iesaistītajās aglomerācijās (1. daļa)</w:t>
      </w:r>
      <w:bookmarkEnd w:id="16"/>
    </w:p>
    <w:p w:rsidR="00445531" w:rsidRDefault="00445531" w:rsidP="000D41F6">
      <w:r>
        <w:rPr>
          <w:noProof/>
        </w:rPr>
        <w:drawing>
          <wp:inline distT="0" distB="0" distL="0" distR="0" wp14:anchorId="29BDD6D2" wp14:editId="72E703E9">
            <wp:extent cx="5486400" cy="3582035"/>
            <wp:effectExtent l="0" t="0" r="19050" b="184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D41F6" w:rsidRDefault="000D41F6" w:rsidP="00CF09D6"/>
    <w:p w:rsidR="00445531" w:rsidRDefault="00445531" w:rsidP="00445531">
      <w:pPr>
        <w:pStyle w:val="Caption"/>
        <w:keepNext/>
      </w:pPr>
      <w:bookmarkStart w:id="17" w:name="_Toc531780792"/>
      <w:r>
        <w:lastRenderedPageBreak/>
        <w:t xml:space="preserve">Grafiks </w:t>
      </w:r>
      <w:r w:rsidR="001B2A9D">
        <w:rPr>
          <w:noProof/>
        </w:rPr>
        <w:fldChar w:fldCharType="begin"/>
      </w:r>
      <w:r w:rsidR="001B2A9D">
        <w:rPr>
          <w:noProof/>
        </w:rPr>
        <w:instrText xml:space="preserve"> SEQ Grafiks \* ARABIC </w:instrText>
      </w:r>
      <w:r w:rsidR="001B2A9D">
        <w:rPr>
          <w:noProof/>
        </w:rPr>
        <w:fldChar w:fldCharType="separate"/>
      </w:r>
      <w:r w:rsidR="000E7FDF">
        <w:rPr>
          <w:noProof/>
        </w:rPr>
        <w:t>8</w:t>
      </w:r>
      <w:r w:rsidR="001B2A9D">
        <w:rPr>
          <w:noProof/>
        </w:rPr>
        <w:fldChar w:fldCharType="end"/>
      </w:r>
      <w:r>
        <w:t xml:space="preserve">. </w:t>
      </w:r>
      <w:r w:rsidRPr="00445531">
        <w:t>Projektētās un reālās BSP5 slodzes (izteikta CE) salīdzinājums pētījumā iesaistītajās aglomerācijās (2. daļa)</w:t>
      </w:r>
      <w:bookmarkEnd w:id="17"/>
    </w:p>
    <w:p w:rsidR="00445531" w:rsidRDefault="00445531" w:rsidP="00CF09D6">
      <w:r>
        <w:rPr>
          <w:noProof/>
        </w:rPr>
        <w:drawing>
          <wp:inline distT="0" distB="0" distL="0" distR="0" wp14:anchorId="238E08BE" wp14:editId="1AF227AF">
            <wp:extent cx="5486400" cy="3582035"/>
            <wp:effectExtent l="0" t="0" r="19050" b="184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531" w:rsidRDefault="00445531" w:rsidP="00CF09D6"/>
    <w:p w:rsidR="00445531" w:rsidRDefault="00445531" w:rsidP="00445531">
      <w:pPr>
        <w:pStyle w:val="Caption"/>
        <w:keepNext/>
      </w:pPr>
      <w:bookmarkStart w:id="18" w:name="_Toc531780793"/>
      <w:r>
        <w:t xml:space="preserve">Grafiks </w:t>
      </w:r>
      <w:r w:rsidR="001B2A9D">
        <w:rPr>
          <w:noProof/>
        </w:rPr>
        <w:fldChar w:fldCharType="begin"/>
      </w:r>
      <w:r w:rsidR="001B2A9D">
        <w:rPr>
          <w:noProof/>
        </w:rPr>
        <w:instrText xml:space="preserve"> SEQ Grafiks \* ARABIC </w:instrText>
      </w:r>
      <w:r w:rsidR="001B2A9D">
        <w:rPr>
          <w:noProof/>
        </w:rPr>
        <w:fldChar w:fldCharType="separate"/>
      </w:r>
      <w:r w:rsidR="000E7FDF">
        <w:rPr>
          <w:noProof/>
        </w:rPr>
        <w:t>9</w:t>
      </w:r>
      <w:r w:rsidR="001B2A9D">
        <w:rPr>
          <w:noProof/>
        </w:rPr>
        <w:fldChar w:fldCharType="end"/>
      </w:r>
      <w:r>
        <w:t xml:space="preserve">. </w:t>
      </w:r>
      <w:r w:rsidRPr="00445531">
        <w:t>Projektētās un reālās BSP5 slodzes (izteikta CE) salīdzinājums pētījumā iesaistītajās aglomerācijās (3. daļa)</w:t>
      </w:r>
      <w:bookmarkEnd w:id="18"/>
    </w:p>
    <w:p w:rsidR="00445531" w:rsidRDefault="00445531" w:rsidP="00CF09D6">
      <w:r>
        <w:rPr>
          <w:noProof/>
        </w:rPr>
        <w:drawing>
          <wp:inline distT="0" distB="0" distL="0" distR="0" wp14:anchorId="56E92310" wp14:editId="48F30962">
            <wp:extent cx="5486400" cy="3582035"/>
            <wp:effectExtent l="0" t="0" r="19050" b="184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45531" w:rsidRDefault="00445531" w:rsidP="00CF09D6"/>
    <w:p w:rsidR="00445531" w:rsidRDefault="00445531" w:rsidP="00CF09D6">
      <w:r>
        <w:lastRenderedPageBreak/>
        <w:t xml:space="preserve">Grafiki parāda visai nevienādu ainu. </w:t>
      </w:r>
    </w:p>
    <w:p w:rsidR="00445531" w:rsidRDefault="00445531" w:rsidP="00CF09D6">
      <w:r>
        <w:t>Daļā aglomerāciju NAI projektētā BSP</w:t>
      </w:r>
      <w:r w:rsidRPr="00445531">
        <w:rPr>
          <w:vertAlign w:val="subscript"/>
        </w:rPr>
        <w:t>5</w:t>
      </w:r>
      <w:r>
        <w:t xml:space="preserve"> slodze ir lielāka par faktisko, daļā – aptuveni vienāda ar faktisko, bet daļā faktiskā BSP</w:t>
      </w:r>
      <w:r w:rsidRPr="00445531">
        <w:rPr>
          <w:vertAlign w:val="subscript"/>
        </w:rPr>
        <w:t>5</w:t>
      </w:r>
      <w:r>
        <w:t xml:space="preserve"> slodze ievērojami pārsniedz projektēto slodzi.</w:t>
      </w:r>
      <w:r w:rsidR="00D25C0B">
        <w:t xml:space="preserve"> Dažās aglomerācijās 2016. – 2017. g. vērojamas milzīgas BSP</w:t>
      </w:r>
      <w:r w:rsidR="00D25C0B" w:rsidRPr="00D25C0B">
        <w:rPr>
          <w:vertAlign w:val="subscript"/>
        </w:rPr>
        <w:t>5</w:t>
      </w:r>
      <w:r w:rsidR="00D25C0B">
        <w:t xml:space="preserve"> slodzes svārstības (Dundagā, Kandavā, Rojā, Varakļānos un citur).</w:t>
      </w:r>
    </w:p>
    <w:p w:rsidR="00445531" w:rsidRDefault="00445531" w:rsidP="00CF09D6">
      <w:r>
        <w:t>Daļēji šādu datu izkliedi var skaidrot ar datu iegūšanas metodikas trūkumiem:</w:t>
      </w:r>
    </w:p>
    <w:p w:rsidR="00445531" w:rsidRDefault="00A149DD" w:rsidP="00A149DD">
      <w:pPr>
        <w:pStyle w:val="ListParagraph"/>
        <w:numPr>
          <w:ilvl w:val="0"/>
          <w:numId w:val="12"/>
        </w:numPr>
        <w:contextualSpacing w:val="0"/>
      </w:pPr>
      <w:r>
        <w:t xml:space="preserve">par lielu daļu aglomerāciju trūkst reālu sausā laika plūsmas datu. </w:t>
      </w:r>
    </w:p>
    <w:p w:rsidR="00A149DD" w:rsidRDefault="00A149DD" w:rsidP="00A149DD">
      <w:pPr>
        <w:pStyle w:val="ListParagraph"/>
        <w:contextualSpacing w:val="0"/>
      </w:pPr>
      <w:r>
        <w:t xml:space="preserve">Šī vasara bija ideāli piemērota sausā laika plūsmas datu savākšanai. Diemžēl ne visas aglomerācijas tos iesniedza un nācās izmantot iepriekšējo gadu vidējās caurplūdes. </w:t>
      </w:r>
    </w:p>
    <w:p w:rsidR="00A149DD" w:rsidRDefault="00A149DD" w:rsidP="00A149DD">
      <w:pPr>
        <w:pStyle w:val="ListParagraph"/>
        <w:contextualSpacing w:val="0"/>
      </w:pPr>
      <w:r>
        <w:t>Iepriekšējā nodaļā (</w:t>
      </w:r>
      <w:r>
        <w:fldChar w:fldCharType="begin"/>
      </w:r>
      <w:r>
        <w:instrText xml:space="preserve"> REF _Ref531706209 \r \h </w:instrText>
      </w:r>
      <w:r>
        <w:fldChar w:fldCharType="separate"/>
      </w:r>
      <w:r>
        <w:t>1.4</w:t>
      </w:r>
      <w:r>
        <w:fldChar w:fldCharType="end"/>
      </w:r>
      <w:r>
        <w:t>. nodaļa “</w:t>
      </w:r>
      <w:r>
        <w:fldChar w:fldCharType="begin"/>
      </w:r>
      <w:r>
        <w:instrText xml:space="preserve"> REF _Ref531706209 \h </w:instrText>
      </w:r>
      <w:r>
        <w:fldChar w:fldCharType="separate"/>
      </w:r>
      <w:r>
        <w:t>Notekūdeņu plūsmas analīze</w:t>
      </w:r>
      <w:r>
        <w:fldChar w:fldCharType="end"/>
      </w:r>
      <w:r>
        <w:t>”) gan bija norādīts, ka pārsteidzošā kārtā, lielākajā daļā aglomerāciju nav novērota ievērojama starpība starp 2016. un 2017. g. caurplūdes rādītājiem, tomēr ir pamats uzskatīt, ka šogad (2018. g.) caurplūde varētu būt mazāka.</w:t>
      </w:r>
    </w:p>
    <w:p w:rsidR="00A149DD" w:rsidRDefault="00A149DD" w:rsidP="00A149DD">
      <w:pPr>
        <w:pStyle w:val="ListParagraph"/>
        <w:contextualSpacing w:val="0"/>
      </w:pPr>
      <w:r>
        <w:t>Tā kā piesārņojuma slodzei vismaz teorētiski būtu jāsaglabājas visumā konstantai, neatkarīgi no caurplūdes, jādomā, ka šogad, kad caurplūde varētu būt bijusi mazāka, piesārņojuma koncentrācijai būtu jāpieaug.</w:t>
      </w:r>
    </w:p>
    <w:p w:rsidR="00A149DD" w:rsidRDefault="00A149DD" w:rsidP="00A149DD">
      <w:pPr>
        <w:pStyle w:val="ListParagraph"/>
        <w:contextualSpacing w:val="0"/>
      </w:pPr>
      <w:r>
        <w:t>Ja šī gada piesārņojuma koncentrācijas izmanto ar iepriekšējo gadu paaugstinātiem caurplūdes apjomiem, iegūstam mākslīgi paaugstinātas BSP</w:t>
      </w:r>
      <w:r w:rsidRPr="00A149DD">
        <w:rPr>
          <w:vertAlign w:val="subscript"/>
        </w:rPr>
        <w:t>5</w:t>
      </w:r>
      <w:r>
        <w:t xml:space="preserve"> slodzes vērības (un lielāku CE ekvivalentu)</w:t>
      </w:r>
      <w:r w:rsidR="00D25C0B">
        <w:t>, kas vērojams būtiskā daļā 2018. g. aprēķinātajā sausā laika slodzē</w:t>
      </w:r>
      <w:r>
        <w:t>.</w:t>
      </w:r>
    </w:p>
    <w:p w:rsidR="00A149DD" w:rsidRPr="00A149DD" w:rsidRDefault="00A149DD" w:rsidP="00A149DD">
      <w:pPr>
        <w:pStyle w:val="ListParagraph"/>
        <w:contextualSpacing w:val="0"/>
      </w:pPr>
      <w:r>
        <w:t>Vērtējot šeit pievienotos datus un grafikus, minētā iespēja jāņem vērā. Iespējams, analīze jāpapildina tad, kad pašvaldības būs iesniegušas Ū-2 formas par 2018. gadu.</w:t>
      </w:r>
    </w:p>
    <w:p w:rsidR="00A149DD" w:rsidRDefault="00D25C0B" w:rsidP="00A149DD">
      <w:pPr>
        <w:pStyle w:val="ListParagraph"/>
        <w:numPr>
          <w:ilvl w:val="0"/>
          <w:numId w:val="12"/>
        </w:numPr>
        <w:contextualSpacing w:val="0"/>
      </w:pPr>
      <w:r>
        <w:t>tikai dažas aglomerācijas savās NAI uztur laboratoriju un ķīmiķi-analītiķi. Tas nozīmē, ka praktiski visi piesārņojuma dati nāk tikai no oficiālā monitoringa, kas notiek tikai 1 reizi ceturksnī, paņemot momentāno paraugu.</w:t>
      </w:r>
    </w:p>
    <w:p w:rsidR="00D25C0B" w:rsidRDefault="00D25C0B" w:rsidP="00D25C0B">
      <w:pPr>
        <w:pStyle w:val="ListParagraph"/>
        <w:contextualSpacing w:val="0"/>
      </w:pPr>
      <w:r>
        <w:t xml:space="preserve">Šis monitorings uzskatāms par nepietiekamu jēgpilnai piesārņojuma slodzes analīzei, jo tajā ir liela nejaušu faktoru ietekme. Tas neņem vērā ne laika apstākļus, ne asenizācijas ūdeņu iespējamo ietekmi. </w:t>
      </w:r>
    </w:p>
    <w:p w:rsidR="00D25C0B" w:rsidRDefault="00D25C0B" w:rsidP="00D25C0B">
      <w:pPr>
        <w:pStyle w:val="ListParagraph"/>
        <w:contextualSpacing w:val="0"/>
      </w:pPr>
      <w:r>
        <w:t>Tieši esošās slodzes monitoringa sistēmas principiālie trūkumi izsauc Dundagā, Kandavā, Rojā, Varakļānos un citur novērotās šķietami milzīgās BSP</w:t>
      </w:r>
      <w:r w:rsidRPr="00D25C0B">
        <w:rPr>
          <w:vertAlign w:val="subscript"/>
        </w:rPr>
        <w:t>5</w:t>
      </w:r>
      <w:r>
        <w:t xml:space="preserve"> slodzes svārstības.</w:t>
      </w:r>
    </w:p>
    <w:p w:rsidR="001836EC" w:rsidRDefault="001836EC" w:rsidP="00D25C0B">
      <w:pPr>
        <w:pStyle w:val="ListParagraph"/>
        <w:contextualSpacing w:val="0"/>
      </w:pPr>
      <w:r>
        <w:t>Esošo monitoringa datu apkopošana par ilgāku laika periodu tikai daļēji atrisinātu problēmu, jo tad pazustu visa slodzes attīstības dinamika.</w:t>
      </w:r>
    </w:p>
    <w:p w:rsidR="00D25C0B" w:rsidRDefault="00D25C0B" w:rsidP="00D25C0B">
      <w:pPr>
        <w:pStyle w:val="ListParagraph"/>
        <w:numPr>
          <w:ilvl w:val="0"/>
          <w:numId w:val="12"/>
        </w:numPr>
        <w:contextualSpacing w:val="0"/>
      </w:pPr>
      <w:r>
        <w:t xml:space="preserve">šī pētījuma ietvaros katrā aglomerācijā tika savākts tikai 1 notekūdeņu diennakts vidējais (laikam proporcionāls) paraugs. </w:t>
      </w:r>
      <w:r w:rsidR="001836EC">
        <w:t>Ļoti ierobežotais paraugu skaits nedod iespēju izslēgt nejaušos faktorus un palielina rezultātu nenoteiktību</w:t>
      </w:r>
      <w:r>
        <w:t>.</w:t>
      </w:r>
      <w:r w:rsidR="001836EC">
        <w:t xml:space="preserve"> Ir skaidrs, ka 2018. g. datus dažās aglomerācijās (Jaunolainē, Mālpilī) izkropļoja asenizācijas ūdeņu pieplūde </w:t>
      </w:r>
    </w:p>
    <w:p w:rsidR="00D25C0B" w:rsidRDefault="00D25C0B" w:rsidP="001836EC"/>
    <w:p w:rsidR="001836EC" w:rsidRDefault="001836EC" w:rsidP="001836EC">
      <w:r>
        <w:t>Zināmus secinājumus tomēr var izdarīt:</w:t>
      </w:r>
    </w:p>
    <w:p w:rsidR="001836EC" w:rsidRDefault="001836EC" w:rsidP="001836EC">
      <w:pPr>
        <w:pStyle w:val="ListParagraph"/>
        <w:numPr>
          <w:ilvl w:val="0"/>
          <w:numId w:val="12"/>
        </w:numPr>
      </w:pPr>
      <w:r>
        <w:lastRenderedPageBreak/>
        <w:t>Rīgai tuvākajās pašvaldībās piesārņojuma slodze ir tuva projektētajai slodzei (Babīte, Baloži, arī Carnikava). Tas saistāms ar iedzīvotāju pieaugumu/pieslēgumu pieaugumu šajās pašvaldībās.</w:t>
      </w:r>
    </w:p>
    <w:p w:rsidR="001836EC" w:rsidRDefault="001836EC" w:rsidP="001836EC">
      <w:pPr>
        <w:pStyle w:val="ListParagraph"/>
        <w:numPr>
          <w:ilvl w:val="0"/>
          <w:numId w:val="12"/>
        </w:numPr>
      </w:pPr>
      <w:r>
        <w:t>dažās pašvaldībās jūtama ievērojama ražošanas notekūdeņu piesārņojuma ietekme (Dundaga, Vangaži). Jāsecina, ka ne visur no ražošanas uzņēmumiem tiek pieprasīta notekūdeņu priekšattīrīšana pirms novadīšanas municipālajā kanalizācijas tīklā.</w:t>
      </w:r>
    </w:p>
    <w:p w:rsidR="001836EC" w:rsidRDefault="001836EC" w:rsidP="001836EC"/>
    <w:p w:rsidR="001836EC" w:rsidRPr="001836EC" w:rsidRDefault="001836EC" w:rsidP="001836EC">
      <w:r>
        <w:t>Uz BSP</w:t>
      </w:r>
      <w:r w:rsidRPr="001836EC">
        <w:rPr>
          <w:vertAlign w:val="subscript"/>
        </w:rPr>
        <w:t>5</w:t>
      </w:r>
      <w:r>
        <w:t xml:space="preserve"> slodzi var paskatīties arī citā griezumā: kāda ir BSP</w:t>
      </w:r>
      <w:r w:rsidRPr="001836EC">
        <w:rPr>
          <w:vertAlign w:val="subscript"/>
        </w:rPr>
        <w:t>5</w:t>
      </w:r>
      <w:r>
        <w:t xml:space="preserve"> slodze, pārrēķinā uz 1 cilvēku:</w:t>
      </w:r>
    </w:p>
    <w:p w:rsidR="001836EC" w:rsidRDefault="001836EC" w:rsidP="001836EC"/>
    <w:p w:rsidR="001836EC" w:rsidRDefault="001836EC" w:rsidP="001836EC">
      <w:pPr>
        <w:pStyle w:val="Caption"/>
        <w:keepNext/>
      </w:pPr>
      <w:bookmarkStart w:id="19" w:name="_Toc531780794"/>
      <w:r>
        <w:t xml:space="preserve">Grafiks </w:t>
      </w:r>
      <w:r w:rsidR="001B2A9D">
        <w:rPr>
          <w:noProof/>
        </w:rPr>
        <w:fldChar w:fldCharType="begin"/>
      </w:r>
      <w:r w:rsidR="001B2A9D">
        <w:rPr>
          <w:noProof/>
        </w:rPr>
        <w:instrText xml:space="preserve"> SEQ Grafiks \* ARABIC </w:instrText>
      </w:r>
      <w:r w:rsidR="001B2A9D">
        <w:rPr>
          <w:noProof/>
        </w:rPr>
        <w:fldChar w:fldCharType="separate"/>
      </w:r>
      <w:r w:rsidR="000E7FDF">
        <w:rPr>
          <w:noProof/>
        </w:rPr>
        <w:t>10</w:t>
      </w:r>
      <w:r w:rsidR="001B2A9D">
        <w:rPr>
          <w:noProof/>
        </w:rPr>
        <w:fldChar w:fldCharType="end"/>
      </w:r>
      <w:r>
        <w:t xml:space="preserve">. </w:t>
      </w:r>
      <w:r w:rsidRPr="001836EC">
        <w:t>Projektētās un reālās BSP5 slodzes (izteiktas CE) uz 1 pieslēgtu cilvēku salīdzinājums pētījumā iesaistītajās aglomerācijās (1. daļa)</w:t>
      </w:r>
      <w:bookmarkEnd w:id="19"/>
    </w:p>
    <w:p w:rsidR="001836EC" w:rsidRDefault="001836EC" w:rsidP="001836EC">
      <w:r>
        <w:rPr>
          <w:noProof/>
        </w:rPr>
        <w:drawing>
          <wp:inline distT="0" distB="0" distL="0" distR="0" wp14:anchorId="2EBBD602" wp14:editId="770DE9A8">
            <wp:extent cx="5486400" cy="3582035"/>
            <wp:effectExtent l="0" t="0" r="19050" b="184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66CD2" w:rsidRDefault="00E66CD2" w:rsidP="001836EC"/>
    <w:p w:rsidR="00E66CD2" w:rsidRDefault="00E66CD2" w:rsidP="00E66CD2">
      <w:pPr>
        <w:pStyle w:val="Caption"/>
        <w:keepNext/>
      </w:pPr>
      <w:bookmarkStart w:id="20" w:name="_Toc531780795"/>
      <w:r>
        <w:lastRenderedPageBreak/>
        <w:t xml:space="preserve">Grafiks </w:t>
      </w:r>
      <w:r w:rsidR="001B2A9D">
        <w:rPr>
          <w:noProof/>
        </w:rPr>
        <w:fldChar w:fldCharType="begin"/>
      </w:r>
      <w:r w:rsidR="001B2A9D">
        <w:rPr>
          <w:noProof/>
        </w:rPr>
        <w:instrText xml:space="preserve"> SEQ Grafiks \* ARABIC </w:instrText>
      </w:r>
      <w:r w:rsidR="001B2A9D">
        <w:rPr>
          <w:noProof/>
        </w:rPr>
        <w:fldChar w:fldCharType="separate"/>
      </w:r>
      <w:r w:rsidR="000E7FDF">
        <w:rPr>
          <w:noProof/>
        </w:rPr>
        <w:t>11</w:t>
      </w:r>
      <w:r w:rsidR="001B2A9D">
        <w:rPr>
          <w:noProof/>
        </w:rPr>
        <w:fldChar w:fldCharType="end"/>
      </w:r>
      <w:r>
        <w:t xml:space="preserve">. </w:t>
      </w:r>
      <w:r w:rsidRPr="00E66CD2">
        <w:t>Projektētās un reālās BSP5 slodzes (izteiktas CE) uz 1 pieslēgtu cilvēku salīdzinājums pētījumā iesaistītajās aglomerācijās (2. daļa)</w:t>
      </w:r>
      <w:bookmarkEnd w:id="20"/>
      <w:r w:rsidRPr="00E66CD2">
        <w:t xml:space="preserve"> </w:t>
      </w:r>
    </w:p>
    <w:p w:rsidR="00E66CD2" w:rsidRDefault="00E66CD2" w:rsidP="001836EC">
      <w:r>
        <w:rPr>
          <w:noProof/>
        </w:rPr>
        <w:drawing>
          <wp:inline distT="0" distB="0" distL="0" distR="0" wp14:anchorId="6BC9D78D" wp14:editId="395F304A">
            <wp:extent cx="5486400" cy="3582035"/>
            <wp:effectExtent l="0" t="0" r="19050" b="1841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66CD2" w:rsidRDefault="00E66CD2" w:rsidP="001836EC"/>
    <w:p w:rsidR="00E66CD2" w:rsidRPr="00E66CD2" w:rsidRDefault="00E66CD2" w:rsidP="00E66CD2">
      <w:pPr>
        <w:pStyle w:val="Caption"/>
        <w:keepNext/>
      </w:pPr>
      <w:bookmarkStart w:id="21" w:name="_Toc531780796"/>
      <w:r>
        <w:t xml:space="preserve">Grafiks </w:t>
      </w:r>
      <w:r w:rsidR="001B2A9D">
        <w:rPr>
          <w:noProof/>
        </w:rPr>
        <w:fldChar w:fldCharType="begin"/>
      </w:r>
      <w:r w:rsidR="001B2A9D">
        <w:rPr>
          <w:noProof/>
        </w:rPr>
        <w:instrText xml:space="preserve"> SEQ Grafiks \* ARA</w:instrText>
      </w:r>
      <w:r w:rsidR="001B2A9D">
        <w:rPr>
          <w:noProof/>
        </w:rPr>
        <w:instrText xml:space="preserve">BIC </w:instrText>
      </w:r>
      <w:r w:rsidR="001B2A9D">
        <w:rPr>
          <w:noProof/>
        </w:rPr>
        <w:fldChar w:fldCharType="separate"/>
      </w:r>
      <w:r w:rsidR="000E7FDF">
        <w:rPr>
          <w:noProof/>
        </w:rPr>
        <w:t>12</w:t>
      </w:r>
      <w:r w:rsidR="001B2A9D">
        <w:rPr>
          <w:noProof/>
        </w:rPr>
        <w:fldChar w:fldCharType="end"/>
      </w:r>
      <w:r>
        <w:t xml:space="preserve">. </w:t>
      </w:r>
      <w:r w:rsidRPr="00E66CD2">
        <w:t>Projektētās un reālās BSP5 slodzes (izteiktas CE) uz 1 pieslēgtu cilvēku salīdzinājums pētījumā iesaistītajās aglomerācijās (3. daļa)</w:t>
      </w:r>
      <w:bookmarkEnd w:id="21"/>
      <w:r w:rsidRPr="00E66CD2">
        <w:t xml:space="preserve"> </w:t>
      </w:r>
    </w:p>
    <w:p w:rsidR="00E66CD2" w:rsidRDefault="00E66CD2" w:rsidP="001836EC">
      <w:r>
        <w:rPr>
          <w:noProof/>
        </w:rPr>
        <w:drawing>
          <wp:inline distT="0" distB="0" distL="0" distR="0" wp14:anchorId="35890AD5" wp14:editId="175CD9D1">
            <wp:extent cx="5486400" cy="3582035"/>
            <wp:effectExtent l="0" t="0" r="19050" b="1841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66CD2" w:rsidRDefault="00E66CD2" w:rsidP="001836EC"/>
    <w:p w:rsidR="00E66CD2" w:rsidRDefault="00E66CD2" w:rsidP="001836EC">
      <w:r>
        <w:lastRenderedPageBreak/>
        <w:t xml:space="preserve">Grafiki konstruēti sekojoši: </w:t>
      </w:r>
    </w:p>
    <w:p w:rsidR="00E66CD2" w:rsidRDefault="00E66CD2" w:rsidP="00E66CD2">
      <w:pPr>
        <w:pStyle w:val="ListParagraph"/>
        <w:numPr>
          <w:ilvl w:val="0"/>
          <w:numId w:val="13"/>
        </w:numPr>
      </w:pPr>
      <w:r>
        <w:t>pirmais stabiņš (rūsgans) ir reference, kur pēc projekta, 1 cilvēks rada 1 CE piesārņojuma.</w:t>
      </w:r>
    </w:p>
    <w:p w:rsidR="00E66CD2" w:rsidRDefault="00E66CD2" w:rsidP="00E66CD2">
      <w:pPr>
        <w:pStyle w:val="ListParagraph"/>
        <w:numPr>
          <w:ilvl w:val="0"/>
          <w:numId w:val="13"/>
        </w:numPr>
      </w:pPr>
      <w:r>
        <w:t>2. stabiņš (zils) parāda, kādu BSP</w:t>
      </w:r>
      <w:r w:rsidRPr="00E66CD2">
        <w:rPr>
          <w:vertAlign w:val="subscript"/>
        </w:rPr>
        <w:t>5</w:t>
      </w:r>
      <w:r>
        <w:t xml:space="preserve"> slodzi (izteiktu CE) 2016. gadā rada 1 NAI pieslēgtais cilvēks (dati ņemti no Ū-2 norādītā NAI pieslēgto iedzīvotāju skaita un ienākošās BSP</w:t>
      </w:r>
      <w:r w:rsidRPr="00E66CD2">
        <w:rPr>
          <w:vertAlign w:val="subscript"/>
        </w:rPr>
        <w:t>5</w:t>
      </w:r>
      <w:r>
        <w:t xml:space="preserve"> slodzes).</w:t>
      </w:r>
    </w:p>
    <w:p w:rsidR="00E66CD2" w:rsidRDefault="00E66CD2" w:rsidP="00E66CD2">
      <w:pPr>
        <w:pStyle w:val="ListParagraph"/>
        <w:numPr>
          <w:ilvl w:val="0"/>
          <w:numId w:val="13"/>
        </w:numPr>
      </w:pPr>
      <w:r>
        <w:t>3. stabiņš (zils) rāda to pašu BSP</w:t>
      </w:r>
      <w:r w:rsidRPr="00E66CD2">
        <w:rPr>
          <w:vertAlign w:val="subscript"/>
        </w:rPr>
        <w:t>5</w:t>
      </w:r>
      <w:r>
        <w:t xml:space="preserve"> slodzi (izteiktu CE) 2017. gadā.</w:t>
      </w:r>
    </w:p>
    <w:p w:rsidR="00E66CD2" w:rsidRDefault="00E66CD2" w:rsidP="00E66CD2">
      <w:pPr>
        <w:pStyle w:val="ListParagraph"/>
        <w:numPr>
          <w:ilvl w:val="0"/>
          <w:numId w:val="13"/>
        </w:numPr>
      </w:pPr>
      <w:r>
        <w:t>4. stabiņš (dzeltens) rāda BSP</w:t>
      </w:r>
      <w:r w:rsidRPr="00E66CD2">
        <w:rPr>
          <w:vertAlign w:val="subscript"/>
        </w:rPr>
        <w:t>5</w:t>
      </w:r>
      <w:r>
        <w:t xml:space="preserve"> slodzi (izteiktu CE), kas aprēķināta izmantojot pieejamos caurplūdes datus un apsekošanas laikā savākto paraugu BSP</w:t>
      </w:r>
      <w:r w:rsidRPr="00E66CD2">
        <w:rPr>
          <w:vertAlign w:val="subscript"/>
        </w:rPr>
        <w:t>5</w:t>
      </w:r>
      <w:r>
        <w:t xml:space="preserve"> vērtības.</w:t>
      </w:r>
    </w:p>
    <w:p w:rsidR="00E66CD2" w:rsidRDefault="00E66CD2" w:rsidP="00E66CD2"/>
    <w:p w:rsidR="00E0495D" w:rsidRDefault="00E66CD2" w:rsidP="00E66CD2">
      <w:r>
        <w:t>Redzams, ka pārsvarā 1 “pieslēgtais” cilvēks rada mazāku slodzi par 1 teorētisko CE</w:t>
      </w:r>
      <w:r w:rsidR="00E0495D">
        <w:t>.</w:t>
      </w:r>
    </w:p>
    <w:p w:rsidR="00E66CD2" w:rsidRDefault="00E0495D" w:rsidP="00E66CD2">
      <w:r>
        <w:t>I</w:t>
      </w:r>
      <w:r w:rsidR="00E66CD2">
        <w:t>r arī vairāki izņēmumi. Pats izteiktākais ir Jaunpiebalga, kur pieslēgto iedzīvotāju skaits ir pavisam neliels (378 cilvēki), toties ienākošā BSP</w:t>
      </w:r>
      <w:r w:rsidR="00E66CD2" w:rsidRPr="00E66CD2">
        <w:rPr>
          <w:vertAlign w:val="subscript"/>
        </w:rPr>
        <w:t>5</w:t>
      </w:r>
      <w:r w:rsidR="00E66CD2">
        <w:t xml:space="preserve"> slodze ir visai liela. Sanāk, ka 1 iedzīvotājs rada 5,5 – 7 CE slodzi. Ne tik izteikta, taču arī ievērojama disproporcija vērojama Dundagā</w:t>
      </w:r>
      <w:r>
        <w:t xml:space="preserve"> (1,5 – 5,5 CE/1 iedzīvotāju)</w:t>
      </w:r>
      <w:r w:rsidR="00E66CD2">
        <w:t xml:space="preserve">. </w:t>
      </w:r>
      <w:r>
        <w:t>Rūjienā vērojama ap 1,9 CE/1 iedzīvotāju slodze Nav šaubu, ka redzamo papildus slodzi rada ražošanas uzņēmumi.</w:t>
      </w:r>
    </w:p>
    <w:p w:rsidR="00E0495D" w:rsidRDefault="00E0495D" w:rsidP="00E66CD2">
      <w:r>
        <w:t>Ne tik skaidra ir Ērgļos novērotā 1,5 – 3 CE slodze uz vienu iedzīvotāju, Krāslavā (1,3 – 2 CE/iedzīvotāju), Ozolniekos (1,2 – 2 CE/iedzīvotāju) slodze.</w:t>
      </w:r>
    </w:p>
    <w:p w:rsidR="00522A42" w:rsidRDefault="00522A42" w:rsidP="00E66CD2"/>
    <w:p w:rsidR="00522A42" w:rsidRDefault="00522A42" w:rsidP="00522A42">
      <w:pPr>
        <w:pStyle w:val="Caption"/>
        <w:keepNext/>
      </w:pPr>
      <w:bookmarkStart w:id="22" w:name="_Toc531780731"/>
      <w:r>
        <w:t xml:space="preserve">Tabula </w:t>
      </w:r>
      <w:r w:rsidR="001B2A9D">
        <w:rPr>
          <w:noProof/>
        </w:rPr>
        <w:fldChar w:fldCharType="begin"/>
      </w:r>
      <w:r w:rsidR="001B2A9D">
        <w:rPr>
          <w:noProof/>
        </w:rPr>
        <w:instrText xml:space="preserve"> SEQ Tabula \* ARABIC </w:instrText>
      </w:r>
      <w:r w:rsidR="001B2A9D">
        <w:rPr>
          <w:noProof/>
        </w:rPr>
        <w:fldChar w:fldCharType="separate"/>
      </w:r>
      <w:r>
        <w:rPr>
          <w:noProof/>
        </w:rPr>
        <w:t>3</w:t>
      </w:r>
      <w:r w:rsidR="001B2A9D">
        <w:rPr>
          <w:noProof/>
        </w:rPr>
        <w:fldChar w:fldCharType="end"/>
      </w:r>
      <w:r>
        <w:t>. Faktiskā CE slodze uz 1 cilvēku 2016., 2017. g. un apsekošanas laikā</w:t>
      </w:r>
      <w:bookmarkEnd w:id="22"/>
    </w:p>
    <w:tbl>
      <w:tblPr>
        <w:tblW w:w="37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717"/>
        <w:gridCol w:w="717"/>
        <w:gridCol w:w="784"/>
      </w:tblGrid>
      <w:tr w:rsidR="00522A42" w:rsidRPr="00522A42" w:rsidTr="00522A42">
        <w:trPr>
          <w:trHeight w:val="300"/>
        </w:trPr>
        <w:tc>
          <w:tcPr>
            <w:tcW w:w="1483" w:type="dxa"/>
            <w:shd w:val="clear" w:color="auto" w:fill="auto"/>
            <w:noWrap/>
            <w:vAlign w:val="bottom"/>
          </w:tcPr>
          <w:p w:rsidR="00522A42" w:rsidRPr="00522A42" w:rsidRDefault="00522A42" w:rsidP="00522A42">
            <w:pPr>
              <w:suppressAutoHyphens w:val="0"/>
              <w:spacing w:after="0"/>
              <w:jc w:val="right"/>
              <w:rPr>
                <w:rFonts w:ascii="Calibri" w:hAnsi="Calibri"/>
                <w:color w:val="000000"/>
                <w:sz w:val="22"/>
                <w:szCs w:val="22"/>
              </w:rPr>
            </w:pPr>
          </w:p>
        </w:tc>
        <w:tc>
          <w:tcPr>
            <w:tcW w:w="717" w:type="dxa"/>
            <w:shd w:val="clear" w:color="auto" w:fill="auto"/>
            <w:noWrap/>
            <w:vAlign w:val="bottom"/>
          </w:tcPr>
          <w:p w:rsidR="00522A42" w:rsidRPr="00522A42" w:rsidRDefault="00522A42" w:rsidP="00522A42">
            <w:pPr>
              <w:suppressAutoHyphens w:val="0"/>
              <w:spacing w:after="0"/>
              <w:jc w:val="right"/>
              <w:rPr>
                <w:rFonts w:ascii="Calibri" w:hAnsi="Calibri"/>
                <w:color w:val="000000"/>
                <w:sz w:val="22"/>
                <w:szCs w:val="22"/>
              </w:rPr>
            </w:pPr>
            <w:r>
              <w:rPr>
                <w:rFonts w:ascii="Calibri" w:hAnsi="Calibri"/>
                <w:color w:val="000000"/>
                <w:sz w:val="22"/>
                <w:szCs w:val="22"/>
              </w:rPr>
              <w:t>2016</w:t>
            </w:r>
          </w:p>
        </w:tc>
        <w:tc>
          <w:tcPr>
            <w:tcW w:w="717" w:type="dxa"/>
            <w:shd w:val="clear" w:color="auto" w:fill="auto"/>
            <w:noWrap/>
            <w:vAlign w:val="bottom"/>
          </w:tcPr>
          <w:p w:rsidR="00522A42" w:rsidRPr="00522A42" w:rsidRDefault="00522A42" w:rsidP="00522A42">
            <w:pPr>
              <w:suppressAutoHyphens w:val="0"/>
              <w:spacing w:after="0"/>
              <w:jc w:val="right"/>
              <w:rPr>
                <w:rFonts w:ascii="Calibri" w:hAnsi="Calibri"/>
                <w:color w:val="000000"/>
                <w:sz w:val="22"/>
                <w:szCs w:val="22"/>
              </w:rPr>
            </w:pPr>
            <w:r>
              <w:rPr>
                <w:rFonts w:ascii="Calibri" w:hAnsi="Calibri"/>
                <w:color w:val="000000"/>
                <w:sz w:val="22"/>
                <w:szCs w:val="22"/>
              </w:rPr>
              <w:t>2017</w:t>
            </w:r>
          </w:p>
        </w:tc>
        <w:tc>
          <w:tcPr>
            <w:tcW w:w="784" w:type="dxa"/>
            <w:shd w:val="clear" w:color="auto" w:fill="auto"/>
            <w:noWrap/>
            <w:vAlign w:val="bottom"/>
          </w:tcPr>
          <w:p w:rsidR="00522A42" w:rsidRPr="00522A42" w:rsidRDefault="00522A42" w:rsidP="00522A42">
            <w:pPr>
              <w:suppressAutoHyphens w:val="0"/>
              <w:spacing w:after="0"/>
              <w:jc w:val="right"/>
              <w:rPr>
                <w:rFonts w:ascii="Calibri" w:hAnsi="Calibri"/>
                <w:color w:val="000000"/>
                <w:sz w:val="22"/>
                <w:szCs w:val="22"/>
              </w:rPr>
            </w:pPr>
            <w:r>
              <w:rPr>
                <w:rFonts w:ascii="Calibri" w:hAnsi="Calibri"/>
                <w:color w:val="000000"/>
                <w:sz w:val="22"/>
                <w:szCs w:val="22"/>
              </w:rPr>
              <w:t>2018</w:t>
            </w:r>
          </w:p>
        </w:tc>
      </w:tr>
      <w:tr w:rsidR="00522A42" w:rsidRPr="00522A42" w:rsidTr="00522A42">
        <w:trPr>
          <w:trHeight w:val="300"/>
        </w:trPr>
        <w:tc>
          <w:tcPr>
            <w:tcW w:w="1483" w:type="dxa"/>
            <w:shd w:val="clear" w:color="auto" w:fill="auto"/>
            <w:noWrap/>
            <w:vAlign w:val="bottom"/>
            <w:hideMark/>
          </w:tcPr>
          <w:p w:rsidR="00522A42" w:rsidRPr="00522A42" w:rsidRDefault="00522A42" w:rsidP="00522A42">
            <w:pPr>
              <w:suppressAutoHyphens w:val="0"/>
              <w:spacing w:after="0"/>
              <w:jc w:val="right"/>
              <w:rPr>
                <w:rFonts w:ascii="Calibri" w:hAnsi="Calibri"/>
                <w:color w:val="000000"/>
                <w:sz w:val="22"/>
                <w:szCs w:val="22"/>
              </w:rPr>
            </w:pPr>
            <w:r w:rsidRPr="00522A42">
              <w:rPr>
                <w:rFonts w:ascii="Calibri" w:hAnsi="Calibri"/>
                <w:color w:val="000000"/>
                <w:sz w:val="22"/>
                <w:szCs w:val="22"/>
              </w:rPr>
              <w:t>Vidēji:</w:t>
            </w:r>
          </w:p>
        </w:tc>
        <w:tc>
          <w:tcPr>
            <w:tcW w:w="717" w:type="dxa"/>
            <w:shd w:val="clear" w:color="auto" w:fill="auto"/>
            <w:noWrap/>
            <w:vAlign w:val="bottom"/>
            <w:hideMark/>
          </w:tcPr>
          <w:p w:rsidR="00522A42" w:rsidRPr="00522A42" w:rsidRDefault="00522A42" w:rsidP="00522A42">
            <w:pPr>
              <w:suppressAutoHyphens w:val="0"/>
              <w:spacing w:after="0"/>
              <w:jc w:val="right"/>
              <w:rPr>
                <w:rFonts w:ascii="Calibri" w:hAnsi="Calibri"/>
                <w:color w:val="000000"/>
                <w:sz w:val="22"/>
                <w:szCs w:val="22"/>
              </w:rPr>
            </w:pPr>
            <w:r w:rsidRPr="00522A42">
              <w:rPr>
                <w:rFonts w:ascii="Calibri" w:hAnsi="Calibri"/>
                <w:color w:val="000000"/>
                <w:sz w:val="22"/>
                <w:szCs w:val="22"/>
              </w:rPr>
              <w:t>1,212</w:t>
            </w:r>
          </w:p>
        </w:tc>
        <w:tc>
          <w:tcPr>
            <w:tcW w:w="717" w:type="dxa"/>
            <w:shd w:val="clear" w:color="auto" w:fill="auto"/>
            <w:noWrap/>
            <w:vAlign w:val="bottom"/>
            <w:hideMark/>
          </w:tcPr>
          <w:p w:rsidR="00522A42" w:rsidRPr="00522A42" w:rsidRDefault="00522A42" w:rsidP="00522A42">
            <w:pPr>
              <w:suppressAutoHyphens w:val="0"/>
              <w:spacing w:after="0"/>
              <w:jc w:val="right"/>
              <w:rPr>
                <w:rFonts w:ascii="Calibri" w:hAnsi="Calibri"/>
                <w:color w:val="000000"/>
                <w:sz w:val="22"/>
                <w:szCs w:val="22"/>
              </w:rPr>
            </w:pPr>
            <w:r w:rsidRPr="00522A42">
              <w:rPr>
                <w:rFonts w:ascii="Calibri" w:hAnsi="Calibri"/>
                <w:color w:val="000000"/>
                <w:sz w:val="22"/>
                <w:szCs w:val="22"/>
              </w:rPr>
              <w:t>1,071</w:t>
            </w:r>
          </w:p>
        </w:tc>
        <w:tc>
          <w:tcPr>
            <w:tcW w:w="784" w:type="dxa"/>
            <w:shd w:val="clear" w:color="auto" w:fill="auto"/>
            <w:noWrap/>
            <w:vAlign w:val="bottom"/>
            <w:hideMark/>
          </w:tcPr>
          <w:p w:rsidR="00522A42" w:rsidRPr="00522A42" w:rsidRDefault="00522A42" w:rsidP="00522A42">
            <w:pPr>
              <w:suppressAutoHyphens w:val="0"/>
              <w:spacing w:after="0"/>
              <w:jc w:val="right"/>
              <w:rPr>
                <w:rFonts w:ascii="Calibri" w:hAnsi="Calibri"/>
                <w:color w:val="000000"/>
                <w:sz w:val="22"/>
                <w:szCs w:val="22"/>
              </w:rPr>
            </w:pPr>
            <w:r w:rsidRPr="00522A42">
              <w:rPr>
                <w:rFonts w:ascii="Calibri" w:hAnsi="Calibri"/>
                <w:color w:val="000000"/>
                <w:sz w:val="22"/>
                <w:szCs w:val="22"/>
              </w:rPr>
              <w:t>1,379</w:t>
            </w:r>
          </w:p>
        </w:tc>
      </w:tr>
      <w:tr w:rsidR="00522A42" w:rsidRPr="00522A42" w:rsidTr="00522A42">
        <w:trPr>
          <w:trHeight w:val="300"/>
        </w:trPr>
        <w:tc>
          <w:tcPr>
            <w:tcW w:w="1483" w:type="dxa"/>
            <w:shd w:val="clear" w:color="auto" w:fill="auto"/>
            <w:noWrap/>
            <w:vAlign w:val="bottom"/>
            <w:hideMark/>
          </w:tcPr>
          <w:p w:rsidR="00522A42" w:rsidRPr="00522A42" w:rsidRDefault="00522A42" w:rsidP="00522A42">
            <w:pPr>
              <w:suppressAutoHyphens w:val="0"/>
              <w:spacing w:after="0"/>
              <w:jc w:val="right"/>
              <w:rPr>
                <w:rFonts w:ascii="Calibri" w:hAnsi="Calibri"/>
                <w:color w:val="000000"/>
                <w:sz w:val="22"/>
                <w:szCs w:val="22"/>
              </w:rPr>
            </w:pPr>
            <w:r w:rsidRPr="00522A42">
              <w:rPr>
                <w:rFonts w:ascii="Calibri" w:hAnsi="Calibri"/>
                <w:color w:val="000000"/>
                <w:sz w:val="22"/>
                <w:szCs w:val="22"/>
              </w:rPr>
              <w:t>Maksimāli:</w:t>
            </w:r>
          </w:p>
        </w:tc>
        <w:tc>
          <w:tcPr>
            <w:tcW w:w="717" w:type="dxa"/>
            <w:shd w:val="clear" w:color="auto" w:fill="auto"/>
            <w:noWrap/>
            <w:vAlign w:val="bottom"/>
            <w:hideMark/>
          </w:tcPr>
          <w:p w:rsidR="00522A42" w:rsidRPr="00522A42" w:rsidRDefault="00522A42" w:rsidP="00522A42">
            <w:pPr>
              <w:suppressAutoHyphens w:val="0"/>
              <w:spacing w:after="0"/>
              <w:jc w:val="right"/>
              <w:rPr>
                <w:rFonts w:ascii="Calibri" w:hAnsi="Calibri"/>
                <w:color w:val="000000"/>
                <w:sz w:val="22"/>
                <w:szCs w:val="22"/>
              </w:rPr>
            </w:pPr>
            <w:r w:rsidRPr="00522A42">
              <w:rPr>
                <w:rFonts w:ascii="Calibri" w:hAnsi="Calibri"/>
                <w:color w:val="000000"/>
                <w:sz w:val="22"/>
                <w:szCs w:val="22"/>
              </w:rPr>
              <w:t>6,673</w:t>
            </w:r>
          </w:p>
        </w:tc>
        <w:tc>
          <w:tcPr>
            <w:tcW w:w="717" w:type="dxa"/>
            <w:shd w:val="clear" w:color="auto" w:fill="auto"/>
            <w:noWrap/>
            <w:vAlign w:val="bottom"/>
            <w:hideMark/>
          </w:tcPr>
          <w:p w:rsidR="00522A42" w:rsidRPr="00522A42" w:rsidRDefault="00522A42" w:rsidP="00522A42">
            <w:pPr>
              <w:suppressAutoHyphens w:val="0"/>
              <w:spacing w:after="0"/>
              <w:jc w:val="right"/>
              <w:rPr>
                <w:rFonts w:ascii="Calibri" w:hAnsi="Calibri"/>
                <w:color w:val="000000"/>
                <w:sz w:val="22"/>
                <w:szCs w:val="22"/>
              </w:rPr>
            </w:pPr>
            <w:r w:rsidRPr="00522A42">
              <w:rPr>
                <w:rFonts w:ascii="Calibri" w:hAnsi="Calibri"/>
                <w:color w:val="000000"/>
                <w:sz w:val="22"/>
                <w:szCs w:val="22"/>
              </w:rPr>
              <w:t>5,952</w:t>
            </w:r>
          </w:p>
        </w:tc>
        <w:tc>
          <w:tcPr>
            <w:tcW w:w="784" w:type="dxa"/>
            <w:shd w:val="clear" w:color="auto" w:fill="auto"/>
            <w:noWrap/>
            <w:vAlign w:val="bottom"/>
            <w:hideMark/>
          </w:tcPr>
          <w:p w:rsidR="00522A42" w:rsidRPr="00522A42" w:rsidRDefault="00522A42" w:rsidP="00522A42">
            <w:pPr>
              <w:suppressAutoHyphens w:val="0"/>
              <w:spacing w:after="0"/>
              <w:jc w:val="right"/>
              <w:rPr>
                <w:rFonts w:ascii="Calibri" w:hAnsi="Calibri"/>
                <w:color w:val="000000"/>
                <w:sz w:val="22"/>
                <w:szCs w:val="22"/>
              </w:rPr>
            </w:pPr>
            <w:r w:rsidRPr="00522A42">
              <w:rPr>
                <w:rFonts w:ascii="Calibri" w:hAnsi="Calibri"/>
                <w:color w:val="000000"/>
                <w:sz w:val="22"/>
                <w:szCs w:val="22"/>
              </w:rPr>
              <w:t>7,275</w:t>
            </w:r>
          </w:p>
        </w:tc>
      </w:tr>
      <w:tr w:rsidR="00522A42" w:rsidRPr="00522A42" w:rsidTr="00522A42">
        <w:trPr>
          <w:trHeight w:val="300"/>
        </w:trPr>
        <w:tc>
          <w:tcPr>
            <w:tcW w:w="1483" w:type="dxa"/>
            <w:shd w:val="clear" w:color="auto" w:fill="auto"/>
            <w:noWrap/>
            <w:vAlign w:val="bottom"/>
            <w:hideMark/>
          </w:tcPr>
          <w:p w:rsidR="00522A42" w:rsidRPr="00522A42" w:rsidRDefault="00522A42" w:rsidP="00522A42">
            <w:pPr>
              <w:suppressAutoHyphens w:val="0"/>
              <w:spacing w:after="0"/>
              <w:jc w:val="right"/>
              <w:rPr>
                <w:rFonts w:ascii="Calibri" w:hAnsi="Calibri"/>
                <w:color w:val="000000"/>
                <w:sz w:val="22"/>
                <w:szCs w:val="22"/>
              </w:rPr>
            </w:pPr>
            <w:r w:rsidRPr="00522A42">
              <w:rPr>
                <w:rFonts w:ascii="Calibri" w:hAnsi="Calibri"/>
                <w:color w:val="000000"/>
                <w:sz w:val="22"/>
                <w:szCs w:val="22"/>
              </w:rPr>
              <w:t>Minimāli:</w:t>
            </w:r>
          </w:p>
        </w:tc>
        <w:tc>
          <w:tcPr>
            <w:tcW w:w="717" w:type="dxa"/>
            <w:shd w:val="clear" w:color="auto" w:fill="auto"/>
            <w:noWrap/>
            <w:vAlign w:val="bottom"/>
            <w:hideMark/>
          </w:tcPr>
          <w:p w:rsidR="00522A42" w:rsidRPr="00522A42" w:rsidRDefault="00522A42" w:rsidP="00522A42">
            <w:pPr>
              <w:suppressAutoHyphens w:val="0"/>
              <w:spacing w:after="0"/>
              <w:jc w:val="right"/>
              <w:rPr>
                <w:rFonts w:ascii="Calibri" w:hAnsi="Calibri"/>
                <w:color w:val="000000"/>
                <w:sz w:val="22"/>
                <w:szCs w:val="22"/>
              </w:rPr>
            </w:pPr>
            <w:r w:rsidRPr="00522A42">
              <w:rPr>
                <w:rFonts w:ascii="Calibri" w:hAnsi="Calibri"/>
                <w:color w:val="000000"/>
                <w:sz w:val="22"/>
                <w:szCs w:val="22"/>
              </w:rPr>
              <w:t>0,095</w:t>
            </w:r>
          </w:p>
        </w:tc>
        <w:tc>
          <w:tcPr>
            <w:tcW w:w="717" w:type="dxa"/>
            <w:shd w:val="clear" w:color="auto" w:fill="auto"/>
            <w:noWrap/>
            <w:vAlign w:val="bottom"/>
            <w:hideMark/>
          </w:tcPr>
          <w:p w:rsidR="00522A42" w:rsidRPr="00522A42" w:rsidRDefault="00522A42" w:rsidP="00522A42">
            <w:pPr>
              <w:suppressAutoHyphens w:val="0"/>
              <w:spacing w:after="0"/>
              <w:jc w:val="right"/>
              <w:rPr>
                <w:rFonts w:ascii="Calibri" w:hAnsi="Calibri"/>
                <w:color w:val="000000"/>
                <w:sz w:val="22"/>
                <w:szCs w:val="22"/>
              </w:rPr>
            </w:pPr>
            <w:r w:rsidRPr="00522A42">
              <w:rPr>
                <w:rFonts w:ascii="Calibri" w:hAnsi="Calibri"/>
                <w:color w:val="000000"/>
                <w:sz w:val="22"/>
                <w:szCs w:val="22"/>
              </w:rPr>
              <w:t>0,084</w:t>
            </w:r>
          </w:p>
        </w:tc>
        <w:tc>
          <w:tcPr>
            <w:tcW w:w="784" w:type="dxa"/>
            <w:shd w:val="clear" w:color="auto" w:fill="auto"/>
            <w:noWrap/>
            <w:vAlign w:val="bottom"/>
            <w:hideMark/>
          </w:tcPr>
          <w:p w:rsidR="00522A42" w:rsidRPr="00522A42" w:rsidRDefault="00522A42" w:rsidP="00522A42">
            <w:pPr>
              <w:suppressAutoHyphens w:val="0"/>
              <w:spacing w:after="0"/>
              <w:jc w:val="right"/>
              <w:rPr>
                <w:rFonts w:ascii="Calibri" w:hAnsi="Calibri"/>
                <w:color w:val="000000"/>
                <w:sz w:val="22"/>
                <w:szCs w:val="22"/>
              </w:rPr>
            </w:pPr>
            <w:r w:rsidRPr="00522A42">
              <w:rPr>
                <w:rFonts w:ascii="Calibri" w:hAnsi="Calibri"/>
                <w:color w:val="000000"/>
                <w:sz w:val="22"/>
                <w:szCs w:val="22"/>
              </w:rPr>
              <w:t>0,148</w:t>
            </w:r>
          </w:p>
        </w:tc>
      </w:tr>
      <w:tr w:rsidR="00522A42" w:rsidRPr="00522A42" w:rsidTr="00522A42">
        <w:trPr>
          <w:trHeight w:val="300"/>
        </w:trPr>
        <w:tc>
          <w:tcPr>
            <w:tcW w:w="1483" w:type="dxa"/>
            <w:shd w:val="clear" w:color="auto" w:fill="auto"/>
            <w:noWrap/>
            <w:vAlign w:val="bottom"/>
            <w:hideMark/>
          </w:tcPr>
          <w:p w:rsidR="00522A42" w:rsidRPr="00522A42" w:rsidRDefault="00522A42" w:rsidP="00522A42">
            <w:pPr>
              <w:suppressAutoHyphens w:val="0"/>
              <w:spacing w:after="0"/>
              <w:jc w:val="right"/>
              <w:rPr>
                <w:rFonts w:ascii="Calibri" w:hAnsi="Calibri"/>
                <w:color w:val="000000"/>
                <w:sz w:val="22"/>
                <w:szCs w:val="22"/>
              </w:rPr>
            </w:pPr>
            <w:r w:rsidRPr="00522A42">
              <w:rPr>
                <w:rFonts w:ascii="Calibri" w:hAnsi="Calibri"/>
                <w:color w:val="000000"/>
                <w:sz w:val="22"/>
                <w:szCs w:val="22"/>
              </w:rPr>
              <w:t>Mediāna:</w:t>
            </w:r>
          </w:p>
        </w:tc>
        <w:tc>
          <w:tcPr>
            <w:tcW w:w="717" w:type="dxa"/>
            <w:shd w:val="clear" w:color="auto" w:fill="auto"/>
            <w:noWrap/>
            <w:vAlign w:val="bottom"/>
            <w:hideMark/>
          </w:tcPr>
          <w:p w:rsidR="00522A42" w:rsidRPr="00522A42" w:rsidRDefault="00522A42" w:rsidP="00522A42">
            <w:pPr>
              <w:suppressAutoHyphens w:val="0"/>
              <w:spacing w:after="0"/>
              <w:jc w:val="right"/>
              <w:rPr>
                <w:rFonts w:ascii="Calibri" w:hAnsi="Calibri"/>
                <w:color w:val="000000"/>
                <w:sz w:val="22"/>
                <w:szCs w:val="22"/>
              </w:rPr>
            </w:pPr>
            <w:r w:rsidRPr="00522A42">
              <w:rPr>
                <w:rFonts w:ascii="Calibri" w:hAnsi="Calibri"/>
                <w:color w:val="000000"/>
                <w:sz w:val="22"/>
                <w:szCs w:val="22"/>
              </w:rPr>
              <w:t>0,767</w:t>
            </w:r>
          </w:p>
        </w:tc>
        <w:tc>
          <w:tcPr>
            <w:tcW w:w="717" w:type="dxa"/>
            <w:shd w:val="clear" w:color="auto" w:fill="auto"/>
            <w:noWrap/>
            <w:vAlign w:val="bottom"/>
            <w:hideMark/>
          </w:tcPr>
          <w:p w:rsidR="00522A42" w:rsidRPr="00522A42" w:rsidRDefault="00522A42" w:rsidP="00522A42">
            <w:pPr>
              <w:suppressAutoHyphens w:val="0"/>
              <w:spacing w:after="0"/>
              <w:jc w:val="right"/>
              <w:rPr>
                <w:rFonts w:ascii="Calibri" w:hAnsi="Calibri"/>
                <w:color w:val="000000"/>
                <w:sz w:val="22"/>
                <w:szCs w:val="22"/>
              </w:rPr>
            </w:pPr>
            <w:r w:rsidRPr="00522A42">
              <w:rPr>
                <w:rFonts w:ascii="Calibri" w:hAnsi="Calibri"/>
                <w:color w:val="000000"/>
                <w:sz w:val="22"/>
                <w:szCs w:val="22"/>
              </w:rPr>
              <w:t>0,803</w:t>
            </w:r>
          </w:p>
        </w:tc>
        <w:tc>
          <w:tcPr>
            <w:tcW w:w="784" w:type="dxa"/>
            <w:shd w:val="clear" w:color="auto" w:fill="auto"/>
            <w:noWrap/>
            <w:vAlign w:val="bottom"/>
            <w:hideMark/>
          </w:tcPr>
          <w:p w:rsidR="00522A42" w:rsidRPr="00522A42" w:rsidRDefault="00522A42" w:rsidP="00522A42">
            <w:pPr>
              <w:suppressAutoHyphens w:val="0"/>
              <w:spacing w:after="0"/>
              <w:jc w:val="right"/>
              <w:rPr>
                <w:rFonts w:ascii="Calibri" w:hAnsi="Calibri"/>
                <w:color w:val="000000"/>
                <w:sz w:val="22"/>
                <w:szCs w:val="22"/>
              </w:rPr>
            </w:pPr>
            <w:r w:rsidRPr="00522A42">
              <w:rPr>
                <w:rFonts w:ascii="Calibri" w:hAnsi="Calibri"/>
                <w:color w:val="000000"/>
                <w:sz w:val="22"/>
                <w:szCs w:val="22"/>
              </w:rPr>
              <w:t>0,946</w:t>
            </w:r>
          </w:p>
        </w:tc>
      </w:tr>
      <w:tr w:rsidR="00522A42" w:rsidRPr="00522A42" w:rsidTr="00522A42">
        <w:trPr>
          <w:trHeight w:val="300"/>
        </w:trPr>
        <w:tc>
          <w:tcPr>
            <w:tcW w:w="1483" w:type="dxa"/>
            <w:shd w:val="clear" w:color="auto" w:fill="auto"/>
            <w:noWrap/>
            <w:vAlign w:val="bottom"/>
            <w:hideMark/>
          </w:tcPr>
          <w:p w:rsidR="00522A42" w:rsidRPr="00522A42" w:rsidRDefault="00522A42" w:rsidP="00522A42">
            <w:pPr>
              <w:suppressAutoHyphens w:val="0"/>
              <w:spacing w:after="0"/>
              <w:jc w:val="right"/>
              <w:rPr>
                <w:rFonts w:ascii="Calibri" w:hAnsi="Calibri"/>
                <w:color w:val="000000"/>
                <w:sz w:val="22"/>
                <w:szCs w:val="22"/>
              </w:rPr>
            </w:pPr>
            <w:r w:rsidRPr="00522A42">
              <w:rPr>
                <w:rFonts w:ascii="Calibri" w:hAnsi="Calibri"/>
                <w:color w:val="000000"/>
                <w:sz w:val="22"/>
                <w:szCs w:val="22"/>
              </w:rPr>
              <w:t>Procentile, 85%:</w:t>
            </w:r>
          </w:p>
        </w:tc>
        <w:tc>
          <w:tcPr>
            <w:tcW w:w="717" w:type="dxa"/>
            <w:shd w:val="clear" w:color="auto" w:fill="auto"/>
            <w:noWrap/>
            <w:vAlign w:val="bottom"/>
            <w:hideMark/>
          </w:tcPr>
          <w:p w:rsidR="00522A42" w:rsidRPr="00522A42" w:rsidRDefault="00522A42" w:rsidP="00522A42">
            <w:pPr>
              <w:suppressAutoHyphens w:val="0"/>
              <w:spacing w:after="0"/>
              <w:jc w:val="right"/>
              <w:rPr>
                <w:rFonts w:ascii="Calibri" w:hAnsi="Calibri"/>
                <w:color w:val="000000"/>
                <w:sz w:val="22"/>
                <w:szCs w:val="22"/>
              </w:rPr>
            </w:pPr>
            <w:r w:rsidRPr="00522A42">
              <w:rPr>
                <w:rFonts w:ascii="Calibri" w:hAnsi="Calibri"/>
                <w:color w:val="000000"/>
                <w:sz w:val="22"/>
                <w:szCs w:val="22"/>
              </w:rPr>
              <w:t>1,521</w:t>
            </w:r>
          </w:p>
        </w:tc>
        <w:tc>
          <w:tcPr>
            <w:tcW w:w="717" w:type="dxa"/>
            <w:shd w:val="clear" w:color="auto" w:fill="auto"/>
            <w:noWrap/>
            <w:vAlign w:val="bottom"/>
            <w:hideMark/>
          </w:tcPr>
          <w:p w:rsidR="00522A42" w:rsidRPr="00522A42" w:rsidRDefault="00522A42" w:rsidP="00522A42">
            <w:pPr>
              <w:suppressAutoHyphens w:val="0"/>
              <w:spacing w:after="0"/>
              <w:jc w:val="right"/>
              <w:rPr>
                <w:rFonts w:ascii="Calibri" w:hAnsi="Calibri"/>
                <w:color w:val="000000"/>
                <w:sz w:val="22"/>
                <w:szCs w:val="22"/>
              </w:rPr>
            </w:pPr>
            <w:r w:rsidRPr="00522A42">
              <w:rPr>
                <w:rFonts w:ascii="Calibri" w:hAnsi="Calibri"/>
                <w:color w:val="000000"/>
                <w:sz w:val="22"/>
                <w:szCs w:val="22"/>
              </w:rPr>
              <w:t>1,467</w:t>
            </w:r>
          </w:p>
        </w:tc>
        <w:tc>
          <w:tcPr>
            <w:tcW w:w="784" w:type="dxa"/>
            <w:shd w:val="clear" w:color="auto" w:fill="auto"/>
            <w:noWrap/>
            <w:vAlign w:val="bottom"/>
            <w:hideMark/>
          </w:tcPr>
          <w:p w:rsidR="00522A42" w:rsidRPr="00522A42" w:rsidRDefault="00522A42" w:rsidP="00522A42">
            <w:pPr>
              <w:suppressAutoHyphens w:val="0"/>
              <w:spacing w:after="0"/>
              <w:jc w:val="right"/>
              <w:rPr>
                <w:rFonts w:ascii="Calibri" w:hAnsi="Calibri"/>
                <w:color w:val="000000"/>
                <w:sz w:val="22"/>
                <w:szCs w:val="22"/>
              </w:rPr>
            </w:pPr>
            <w:r w:rsidRPr="00522A42">
              <w:rPr>
                <w:rFonts w:ascii="Calibri" w:hAnsi="Calibri"/>
                <w:color w:val="000000"/>
                <w:sz w:val="22"/>
                <w:szCs w:val="22"/>
              </w:rPr>
              <w:t>2,11</w:t>
            </w:r>
          </w:p>
        </w:tc>
      </w:tr>
    </w:tbl>
    <w:p w:rsidR="00522A42" w:rsidRDefault="00522A42" w:rsidP="00E66CD2"/>
    <w:p w:rsidR="00522A42" w:rsidRDefault="00522A42" w:rsidP="00E66CD2">
      <w:r>
        <w:t>Tabula parāda, ka 1 “pieslēgtā” cilvēka radītā BSP</w:t>
      </w:r>
      <w:r w:rsidRPr="00522A42">
        <w:rPr>
          <w:vertAlign w:val="subscript"/>
        </w:rPr>
        <w:t>5</w:t>
      </w:r>
      <w:r>
        <w:t xml:space="preserve"> slodze (izteikta CE) var svārstīties ļoti plašā diapazonā: no 0,084 CE līdz pat 7,275 CE. </w:t>
      </w:r>
    </w:p>
    <w:p w:rsidR="00522A42" w:rsidRDefault="00522A42" w:rsidP="00E66CD2">
      <w:r>
        <w:t>Šeit gan jāsaprot, ka maksimālās CE vērtības novērotas tur, kur ir izteikta ražošanas notekūdeņu ietekme, vai arī asenizācijas ūdeņu ietekme. Minētās maksimālās vērtības mākslīgi paaugstina arī vidējo CE slodzes uz 1 cilvēku vērtību, tāpēc šajā gadījumā lietderīgāk būtu izskatīt mediānas vērtību.</w:t>
      </w:r>
    </w:p>
    <w:p w:rsidR="00522A42" w:rsidRDefault="00522A42" w:rsidP="00E66CD2">
      <w:r>
        <w:t>Tabula parāda, ka 2016. – 2017. g. 1 cilvēka radītā BSP</w:t>
      </w:r>
      <w:r w:rsidRPr="00522A42">
        <w:rPr>
          <w:vertAlign w:val="subscript"/>
        </w:rPr>
        <w:t>5</w:t>
      </w:r>
      <w:r>
        <w:t>slodze (izteikta CE) ir ap 0,78 – 0,8 CE, vai 47 – 49 g BSP</w:t>
      </w:r>
      <w:r w:rsidRPr="00522A42">
        <w:rPr>
          <w:vertAlign w:val="subscript"/>
        </w:rPr>
        <w:t>5</w:t>
      </w:r>
      <w:r>
        <w:t xml:space="preserve"> dienā. </w:t>
      </w:r>
    </w:p>
    <w:p w:rsidR="00522A42" w:rsidRPr="00522A42" w:rsidRDefault="00522A42" w:rsidP="00E66CD2">
      <w:r>
        <w:t>Apsekošanas laikā mediāna ir augstāka un sastāda apmēram 57 g BSP</w:t>
      </w:r>
      <w:r w:rsidRPr="00522A42">
        <w:rPr>
          <w:vertAlign w:val="subscript"/>
        </w:rPr>
        <w:t>5</w:t>
      </w:r>
      <w:r>
        <w:t xml:space="preserve"> dienā.</w:t>
      </w:r>
    </w:p>
    <w:p w:rsidR="00522A42" w:rsidRDefault="00522A42" w:rsidP="00E66CD2"/>
    <w:p w:rsidR="00522A42" w:rsidRDefault="00522A42" w:rsidP="00E66CD2">
      <w:r>
        <w:t>Ja attēlojam CE slodzi uz 1 cilvēku sadalījumu grafiski, iegūstam sekojošu ainu:</w:t>
      </w:r>
    </w:p>
    <w:p w:rsidR="00522A42" w:rsidRPr="00522A42" w:rsidRDefault="00522A42" w:rsidP="00522A42">
      <w:pPr>
        <w:pStyle w:val="Caption"/>
        <w:keepNext/>
      </w:pPr>
      <w:bookmarkStart w:id="23" w:name="_Toc531780797"/>
      <w:r>
        <w:lastRenderedPageBreak/>
        <w:t xml:space="preserve">Grafiks </w:t>
      </w:r>
      <w:r w:rsidR="001B2A9D">
        <w:rPr>
          <w:noProof/>
        </w:rPr>
        <w:fldChar w:fldCharType="begin"/>
      </w:r>
      <w:r w:rsidR="001B2A9D">
        <w:rPr>
          <w:noProof/>
        </w:rPr>
        <w:instrText xml:space="preserve"> SEQ Grafiks \* ARABIC </w:instrText>
      </w:r>
      <w:r w:rsidR="001B2A9D">
        <w:rPr>
          <w:noProof/>
        </w:rPr>
        <w:fldChar w:fldCharType="separate"/>
      </w:r>
      <w:r w:rsidR="000E7FDF">
        <w:rPr>
          <w:noProof/>
        </w:rPr>
        <w:t>13</w:t>
      </w:r>
      <w:r w:rsidR="001B2A9D">
        <w:rPr>
          <w:noProof/>
        </w:rPr>
        <w:fldChar w:fldCharType="end"/>
      </w:r>
      <w:r>
        <w:t>. Viena cilvēka radītās BSP</w:t>
      </w:r>
      <w:r w:rsidRPr="00522A42">
        <w:rPr>
          <w:vertAlign w:val="subscript"/>
        </w:rPr>
        <w:t>5</w:t>
      </w:r>
      <w:r>
        <w:t xml:space="preserve"> slodzes (izteiktas CE) vērtību sadalījums  2016. g.</w:t>
      </w:r>
      <w:bookmarkEnd w:id="23"/>
    </w:p>
    <w:p w:rsidR="00522A42" w:rsidRDefault="00522A42" w:rsidP="00E66CD2">
      <w:r>
        <w:rPr>
          <w:noProof/>
        </w:rPr>
        <w:drawing>
          <wp:inline distT="0" distB="0" distL="0" distR="0" wp14:anchorId="017057DF" wp14:editId="4DE7C89F">
            <wp:extent cx="4572000" cy="27432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22A42" w:rsidRDefault="00522A42" w:rsidP="00E66CD2"/>
    <w:p w:rsidR="000E7FDF" w:rsidRDefault="000E7FDF" w:rsidP="000E7FDF">
      <w:pPr>
        <w:pStyle w:val="Caption"/>
        <w:keepNext/>
      </w:pPr>
      <w:bookmarkStart w:id="24" w:name="_Toc531780798"/>
      <w:r>
        <w:t xml:space="preserve">Grafiks </w:t>
      </w:r>
      <w:r w:rsidR="001B2A9D">
        <w:rPr>
          <w:noProof/>
        </w:rPr>
        <w:fldChar w:fldCharType="begin"/>
      </w:r>
      <w:r w:rsidR="001B2A9D">
        <w:rPr>
          <w:noProof/>
        </w:rPr>
        <w:instrText xml:space="preserve"> SEQ Grafiks \* ARABIC </w:instrText>
      </w:r>
      <w:r w:rsidR="001B2A9D">
        <w:rPr>
          <w:noProof/>
        </w:rPr>
        <w:fldChar w:fldCharType="separate"/>
      </w:r>
      <w:r>
        <w:rPr>
          <w:noProof/>
        </w:rPr>
        <w:t>14</w:t>
      </w:r>
      <w:r w:rsidR="001B2A9D">
        <w:rPr>
          <w:noProof/>
        </w:rPr>
        <w:fldChar w:fldCharType="end"/>
      </w:r>
      <w:r>
        <w:t>. Viena cilvēka radītās BSP</w:t>
      </w:r>
      <w:r w:rsidRPr="00522A42">
        <w:rPr>
          <w:vertAlign w:val="subscript"/>
        </w:rPr>
        <w:t>5</w:t>
      </w:r>
      <w:r>
        <w:t xml:space="preserve"> slodzes (izteiktas CE) vērtību sadalījums  2017. g.</w:t>
      </w:r>
      <w:bookmarkEnd w:id="24"/>
    </w:p>
    <w:p w:rsidR="00522A42" w:rsidRDefault="00522A42" w:rsidP="00E66CD2">
      <w:r>
        <w:rPr>
          <w:noProof/>
        </w:rPr>
        <w:drawing>
          <wp:inline distT="0" distB="0" distL="0" distR="0" wp14:anchorId="409858B8" wp14:editId="2F90711F">
            <wp:extent cx="4572000" cy="27432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22A42" w:rsidRDefault="00522A42" w:rsidP="00E66CD2"/>
    <w:p w:rsidR="000E7FDF" w:rsidRDefault="000E7FDF" w:rsidP="000E7FDF">
      <w:pPr>
        <w:pStyle w:val="Caption"/>
        <w:keepNext/>
      </w:pPr>
      <w:bookmarkStart w:id="25" w:name="_Toc531780799"/>
      <w:r>
        <w:lastRenderedPageBreak/>
        <w:t xml:space="preserve">Grafiks </w:t>
      </w:r>
      <w:r w:rsidR="001B2A9D">
        <w:rPr>
          <w:noProof/>
        </w:rPr>
        <w:fldChar w:fldCharType="begin"/>
      </w:r>
      <w:r w:rsidR="001B2A9D">
        <w:rPr>
          <w:noProof/>
        </w:rPr>
        <w:instrText xml:space="preserve"> SEQ Grafiks \* ARABIC </w:instrText>
      </w:r>
      <w:r w:rsidR="001B2A9D">
        <w:rPr>
          <w:noProof/>
        </w:rPr>
        <w:fldChar w:fldCharType="separate"/>
      </w:r>
      <w:r>
        <w:rPr>
          <w:noProof/>
        </w:rPr>
        <w:t>15</w:t>
      </w:r>
      <w:r w:rsidR="001B2A9D">
        <w:rPr>
          <w:noProof/>
        </w:rPr>
        <w:fldChar w:fldCharType="end"/>
      </w:r>
      <w:r>
        <w:t>. Viena cilvēka radītās BSP</w:t>
      </w:r>
      <w:r w:rsidRPr="00522A42">
        <w:rPr>
          <w:vertAlign w:val="subscript"/>
        </w:rPr>
        <w:t>5</w:t>
      </w:r>
      <w:r>
        <w:t xml:space="preserve"> slodzes (izteiktas CE) vērtību sadalījums  2018. g. (apsekošanas laikā)</w:t>
      </w:r>
      <w:bookmarkEnd w:id="25"/>
    </w:p>
    <w:p w:rsidR="00522A42" w:rsidRDefault="00522A42" w:rsidP="00E66CD2">
      <w:r>
        <w:rPr>
          <w:noProof/>
        </w:rPr>
        <w:drawing>
          <wp:inline distT="0" distB="0" distL="0" distR="0" wp14:anchorId="75967C9A" wp14:editId="29371DE7">
            <wp:extent cx="4572000" cy="2743200"/>
            <wp:effectExtent l="0" t="0" r="19050"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E7FDF" w:rsidRDefault="000E7FDF" w:rsidP="00E66CD2">
      <w:r>
        <w:t>Rezultātu sadalījums skaidri parāda, ka 2016. – 2017. g. visvairāk rezultātu ir zem 1 CE, tātad, 1 cilvēks rada mazāku BSP</w:t>
      </w:r>
      <w:r w:rsidRPr="000E7FDF">
        <w:rPr>
          <w:vertAlign w:val="subscript"/>
        </w:rPr>
        <w:t>5</w:t>
      </w:r>
      <w:r>
        <w:t xml:space="preserve"> slodzi par 34. noteikumos minēto 60 g/dienā.</w:t>
      </w:r>
    </w:p>
    <w:p w:rsidR="000E7FDF" w:rsidRPr="000E7FDF" w:rsidRDefault="000E7FDF" w:rsidP="00E66CD2">
      <w:r>
        <w:t>Apsekošanas laikā CE mediānas vērtība ir visai tuvu 60 g BSP</w:t>
      </w:r>
      <w:r w:rsidRPr="000E7FDF">
        <w:rPr>
          <w:vertAlign w:val="subscript"/>
        </w:rPr>
        <w:t>5</w:t>
      </w:r>
      <w:r>
        <w:t xml:space="preserve"> dienā. Te gan jāņem vērā jau iepriekš minētie apsvērumi par esošās monitoringa sistēmas nepilnībām un jūtami nepietiekamajiem notekūdeņu plūsmas datiem 2018. g., kas varēja izsaukt rezultātu nobīdi uz lielāku CE vērtību pusi.</w:t>
      </w:r>
    </w:p>
    <w:p w:rsidR="00E0495D" w:rsidRDefault="00E0495D" w:rsidP="00E66CD2"/>
    <w:p w:rsidR="00E5328B" w:rsidRDefault="00E5328B" w:rsidP="00E5328B">
      <w:pPr>
        <w:pStyle w:val="Heading2"/>
      </w:pPr>
      <w:bookmarkStart w:id="26" w:name="_Toc531780715"/>
      <w:r>
        <w:t>ĶSP</w:t>
      </w:r>
      <w:r w:rsidRPr="00445531">
        <w:rPr>
          <w:vertAlign w:val="subscript"/>
        </w:rPr>
        <w:t>5</w:t>
      </w:r>
      <w:r>
        <w:t xml:space="preserve"> slodzes analīze</w:t>
      </w:r>
      <w:bookmarkEnd w:id="26"/>
    </w:p>
    <w:p w:rsidR="00E5328B" w:rsidRDefault="00E5328B" w:rsidP="00E66CD2">
      <w:r>
        <w:t>Gan Ū-2 formās, gan arī izpētes ietvaros veiktajās analīzes ĶSP līmenis visumā labi korelējās ar novēroto BSP</w:t>
      </w:r>
      <w:r w:rsidRPr="00E5328B">
        <w:rPr>
          <w:vertAlign w:val="subscript"/>
        </w:rPr>
        <w:t>5</w:t>
      </w:r>
      <w:r>
        <w:t xml:space="preserve"> līmeni. </w:t>
      </w:r>
    </w:p>
    <w:p w:rsidR="00BB00B1" w:rsidRDefault="00BB00B1" w:rsidP="00E66CD2">
      <w:r>
        <w:t>Praktiski visās analīzēs ĶSP/BSP</w:t>
      </w:r>
      <w:r w:rsidRPr="00BB00B1">
        <w:rPr>
          <w:vertAlign w:val="subscript"/>
        </w:rPr>
        <w:t>5</w:t>
      </w:r>
      <w:r>
        <w:t xml:space="preserve"> proporcija uzskatāma par normālu.</w:t>
      </w:r>
    </w:p>
    <w:p w:rsidR="00BB00B1" w:rsidRDefault="00BB00B1" w:rsidP="00E66CD2">
      <w:r>
        <w:t>Bija tikai daži izņēmumi:</w:t>
      </w:r>
    </w:p>
    <w:p w:rsidR="00BB00B1" w:rsidRDefault="00BB00B1" w:rsidP="00E66CD2">
      <w:r>
        <w:t>Salacgrīva: ĶSP = 290 mg/L, BSP</w:t>
      </w:r>
      <w:r w:rsidRPr="00BB00B1">
        <w:rPr>
          <w:vertAlign w:val="subscript"/>
        </w:rPr>
        <w:t>5</w:t>
      </w:r>
      <w:r>
        <w:t xml:space="preserve"> = 42 (!) mg/L (1/6,9).</w:t>
      </w:r>
    </w:p>
    <w:p w:rsidR="00BB00B1" w:rsidRDefault="00BB00B1" w:rsidP="00BB00B1">
      <w:r>
        <w:t>Saulkrasti: ĶSP = 1200 mg/L, BSP</w:t>
      </w:r>
      <w:r w:rsidRPr="00BB00B1">
        <w:rPr>
          <w:vertAlign w:val="subscript"/>
        </w:rPr>
        <w:t>5</w:t>
      </w:r>
      <w:r>
        <w:t xml:space="preserve"> = 280 (!) mg/L (1/4,3).</w:t>
      </w:r>
    </w:p>
    <w:p w:rsidR="00BB00B1" w:rsidRDefault="00BB00B1" w:rsidP="00BB00B1"/>
    <w:p w:rsidR="00BB00B1" w:rsidRPr="00BB00B1" w:rsidRDefault="00BB00B1" w:rsidP="00E66CD2"/>
    <w:p w:rsidR="00E5328B" w:rsidRDefault="00E5328B" w:rsidP="00E5328B">
      <w:pPr>
        <w:pStyle w:val="Caption"/>
        <w:keepNext/>
      </w:pPr>
      <w:bookmarkStart w:id="27" w:name="_Toc531780800"/>
      <w:r>
        <w:lastRenderedPageBreak/>
        <w:t xml:space="preserve">Grafiks </w:t>
      </w:r>
      <w:r w:rsidR="001B2A9D">
        <w:rPr>
          <w:noProof/>
        </w:rPr>
        <w:fldChar w:fldCharType="begin"/>
      </w:r>
      <w:r w:rsidR="001B2A9D">
        <w:rPr>
          <w:noProof/>
        </w:rPr>
        <w:instrText xml:space="preserve"> SEQ Grafiks \* ARABIC </w:instrText>
      </w:r>
      <w:r w:rsidR="001B2A9D">
        <w:rPr>
          <w:noProof/>
        </w:rPr>
        <w:fldChar w:fldCharType="separate"/>
      </w:r>
      <w:r w:rsidR="000E7FDF">
        <w:rPr>
          <w:noProof/>
        </w:rPr>
        <w:t>16</w:t>
      </w:r>
      <w:r w:rsidR="001B2A9D">
        <w:rPr>
          <w:noProof/>
        </w:rPr>
        <w:fldChar w:fldCharType="end"/>
      </w:r>
      <w:r>
        <w:t xml:space="preserve">. </w:t>
      </w:r>
      <w:r w:rsidRPr="00E5328B">
        <w:t>ĶSP slodžu salīdzinājums pētījumā iesaistītajās aglomerācijās (1. daļa)</w:t>
      </w:r>
      <w:bookmarkEnd w:id="27"/>
    </w:p>
    <w:p w:rsidR="00E5328B" w:rsidRDefault="00E5328B" w:rsidP="00E66CD2">
      <w:r>
        <w:rPr>
          <w:noProof/>
        </w:rPr>
        <w:drawing>
          <wp:inline distT="0" distB="0" distL="0" distR="0" wp14:anchorId="4282E76E" wp14:editId="32F54FDD">
            <wp:extent cx="5486400" cy="3582035"/>
            <wp:effectExtent l="0" t="0" r="19050" b="1841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5328B" w:rsidRDefault="00E5328B" w:rsidP="00E66CD2"/>
    <w:p w:rsidR="00E5328B" w:rsidRPr="00E5328B" w:rsidRDefault="00E5328B" w:rsidP="00E5328B">
      <w:pPr>
        <w:pStyle w:val="Caption"/>
        <w:keepNext/>
      </w:pPr>
      <w:bookmarkStart w:id="28" w:name="_Toc531780801"/>
      <w:r>
        <w:t xml:space="preserve">Grafiks </w:t>
      </w:r>
      <w:r w:rsidR="001B2A9D">
        <w:rPr>
          <w:noProof/>
        </w:rPr>
        <w:fldChar w:fldCharType="begin"/>
      </w:r>
      <w:r w:rsidR="001B2A9D">
        <w:rPr>
          <w:noProof/>
        </w:rPr>
        <w:instrText xml:space="preserve"> SEQ Grafiks \* ARABIC </w:instrText>
      </w:r>
      <w:r w:rsidR="001B2A9D">
        <w:rPr>
          <w:noProof/>
        </w:rPr>
        <w:fldChar w:fldCharType="separate"/>
      </w:r>
      <w:r w:rsidR="000E7FDF">
        <w:rPr>
          <w:noProof/>
        </w:rPr>
        <w:t>17</w:t>
      </w:r>
      <w:r w:rsidR="001B2A9D">
        <w:rPr>
          <w:noProof/>
        </w:rPr>
        <w:fldChar w:fldCharType="end"/>
      </w:r>
      <w:r>
        <w:t xml:space="preserve">. </w:t>
      </w:r>
      <w:r w:rsidRPr="00E5328B">
        <w:t>ĶSP slodžu salīdzinājums pētījumā iesaistītajās aglomerācijās (2. daļa)</w:t>
      </w:r>
      <w:bookmarkEnd w:id="28"/>
      <w:r w:rsidRPr="00E5328B">
        <w:t xml:space="preserve"> </w:t>
      </w:r>
    </w:p>
    <w:p w:rsidR="00E5328B" w:rsidRDefault="00E5328B" w:rsidP="00E66CD2">
      <w:r>
        <w:rPr>
          <w:noProof/>
        </w:rPr>
        <w:drawing>
          <wp:inline distT="0" distB="0" distL="0" distR="0" wp14:anchorId="08059027" wp14:editId="5877EADA">
            <wp:extent cx="5486400" cy="3582035"/>
            <wp:effectExtent l="0" t="0" r="19050" b="1841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5328B" w:rsidRDefault="00E5328B" w:rsidP="00E66CD2"/>
    <w:p w:rsidR="00E5328B" w:rsidRDefault="00E5328B" w:rsidP="00E5328B">
      <w:pPr>
        <w:pStyle w:val="Caption"/>
        <w:keepNext/>
      </w:pPr>
      <w:bookmarkStart w:id="29" w:name="_Toc531780802"/>
      <w:r>
        <w:lastRenderedPageBreak/>
        <w:t xml:space="preserve">Grafiks </w:t>
      </w:r>
      <w:r w:rsidR="001B2A9D">
        <w:rPr>
          <w:noProof/>
        </w:rPr>
        <w:fldChar w:fldCharType="begin"/>
      </w:r>
      <w:r w:rsidR="001B2A9D">
        <w:rPr>
          <w:noProof/>
        </w:rPr>
        <w:instrText xml:space="preserve"> SEQ Grafiks \* ARABIC </w:instrText>
      </w:r>
      <w:r w:rsidR="001B2A9D">
        <w:rPr>
          <w:noProof/>
        </w:rPr>
        <w:fldChar w:fldCharType="separate"/>
      </w:r>
      <w:r w:rsidR="000E7FDF">
        <w:rPr>
          <w:noProof/>
        </w:rPr>
        <w:t>18</w:t>
      </w:r>
      <w:r w:rsidR="001B2A9D">
        <w:rPr>
          <w:noProof/>
        </w:rPr>
        <w:fldChar w:fldCharType="end"/>
      </w:r>
      <w:r>
        <w:t xml:space="preserve">. </w:t>
      </w:r>
      <w:r w:rsidRPr="00E5328B">
        <w:t>ĶSP slodžu salīdzinājums pētījumā iesaistītajās aglomerācijās (3. daļa)</w:t>
      </w:r>
      <w:bookmarkEnd w:id="29"/>
    </w:p>
    <w:p w:rsidR="00E5328B" w:rsidRDefault="00E5328B" w:rsidP="00E66CD2">
      <w:r>
        <w:rPr>
          <w:noProof/>
        </w:rPr>
        <w:drawing>
          <wp:inline distT="0" distB="0" distL="0" distR="0" wp14:anchorId="242793F4" wp14:editId="15AC4C2A">
            <wp:extent cx="5486400" cy="3582035"/>
            <wp:effectExtent l="0" t="0" r="19050" b="1841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5328B" w:rsidRDefault="00E5328B" w:rsidP="00E66CD2"/>
    <w:p w:rsidR="00E5328B" w:rsidRDefault="00E5328B" w:rsidP="00E66CD2">
      <w:r>
        <w:t>Daudzās aglomerācijās grafiki uzrāda ļoti lielas ĶSP slodzes svārstības 2016. – 2017. g. un apsekošanas laikā 2018. g. Tas skaidrojams ar jau iepriekš minētajiem apsvērumiem:</w:t>
      </w:r>
    </w:p>
    <w:p w:rsidR="00E5328B" w:rsidRDefault="00E5328B" w:rsidP="00E5328B">
      <w:pPr>
        <w:pStyle w:val="ListParagraph"/>
        <w:numPr>
          <w:ilvl w:val="0"/>
          <w:numId w:val="12"/>
        </w:numPr>
        <w:contextualSpacing w:val="0"/>
      </w:pPr>
      <w:r>
        <w:t xml:space="preserve">par lielu daļu aglomerāciju trūkst reālu sausā laika plūsmas datu. </w:t>
      </w:r>
    </w:p>
    <w:p w:rsidR="00E5328B" w:rsidRPr="00A149DD" w:rsidRDefault="00E5328B" w:rsidP="00E5328B">
      <w:pPr>
        <w:pStyle w:val="ListParagraph"/>
        <w:contextualSpacing w:val="0"/>
      </w:pPr>
      <w:r>
        <w:t>Iespējams, šī analīze jāpapildina tad, kad pašvaldības būs iesniegušas Ū-2 formas par 2018. gadu.</w:t>
      </w:r>
    </w:p>
    <w:p w:rsidR="00E5328B" w:rsidRDefault="00E5328B" w:rsidP="00E5328B">
      <w:pPr>
        <w:pStyle w:val="ListParagraph"/>
        <w:numPr>
          <w:ilvl w:val="0"/>
          <w:numId w:val="12"/>
        </w:numPr>
        <w:contextualSpacing w:val="0"/>
      </w:pPr>
      <w:r>
        <w:t>Esošā monitoringa sistēma uzskatāma par nepietiekamu jēgpilnai piesārņojuma slodzes analīzei.</w:t>
      </w:r>
    </w:p>
    <w:p w:rsidR="00E5328B" w:rsidRDefault="00E5328B" w:rsidP="00E5328B">
      <w:pPr>
        <w:pStyle w:val="ListParagraph"/>
        <w:numPr>
          <w:ilvl w:val="0"/>
          <w:numId w:val="12"/>
        </w:numPr>
        <w:contextualSpacing w:val="0"/>
      </w:pPr>
      <w:r>
        <w:t xml:space="preserve">šī pētījuma ietvaros katrā aglomerācijā tika savākts tikai 1 notekūdeņu diennakts vidējais (laikam proporcionāls) paraugs. </w:t>
      </w:r>
    </w:p>
    <w:p w:rsidR="00E5328B" w:rsidRDefault="00E5328B" w:rsidP="00E66CD2"/>
    <w:p w:rsidR="00BB00B1" w:rsidRDefault="00BB00B1" w:rsidP="00E66CD2"/>
    <w:p w:rsidR="00BB00B1" w:rsidRDefault="00BB00B1" w:rsidP="00BB00B1">
      <w:pPr>
        <w:pStyle w:val="Heading1"/>
      </w:pPr>
      <w:bookmarkStart w:id="30" w:name="_Toc531780716"/>
      <w:r>
        <w:t>Secinājumi</w:t>
      </w:r>
      <w:bookmarkEnd w:id="30"/>
    </w:p>
    <w:p w:rsidR="00BB00B1" w:rsidRDefault="00BB00B1" w:rsidP="00BB00B1">
      <w:r>
        <w:t xml:space="preserve">Saskaņā ar darba uzdevumu, viens no šī darba mērķiem bija radīt </w:t>
      </w:r>
      <w:r w:rsidRPr="000B47F5">
        <w:t>metodiku notekūdeņu radītā piesārņojuma slodzes novērtēšanai apdzīvotās vietās (aglomerācijās)</w:t>
      </w:r>
      <w:r>
        <w:t>.</w:t>
      </w:r>
    </w:p>
    <w:p w:rsidR="00BB00B1" w:rsidRDefault="00BB00B1" w:rsidP="00BB00B1">
      <w:r>
        <w:t>Metodikas pamatā bija paredzēts likt novēroto notekūdeņu attīrīšanas ietaisēs ienākošo piesārņojuma slodzi, korelējot to ar centralizētajai kanalizācijas sistēmai pieslēgto iedzīvotāju skaitu un to iedzīvotāju skaitu, kas izmanto asenizācijas/septisko notekūdeņu izvešanas pakalpojumus.</w:t>
      </w:r>
    </w:p>
    <w:p w:rsidR="000E7FDF" w:rsidRDefault="000E7FDF" w:rsidP="00BB00B1">
      <w:r>
        <w:t>Iegūtie dati liecina, ka uz esošās monitoringa sistēmas bāzes nav iespējams radīt universālu metodiku, kas ar pietiekamu precizitāti ļaus aprēķināt NAI ienākošo piesārņojuma slodzi, balstoties tikai uz iedzīvotāju skaitu.</w:t>
      </w:r>
    </w:p>
    <w:p w:rsidR="000E7FDF" w:rsidRDefault="000E7FDF" w:rsidP="00BB00B1">
      <w:r>
        <w:lastRenderedPageBreak/>
        <w:t>Dati liecina, ka:</w:t>
      </w:r>
    </w:p>
    <w:p w:rsidR="000E7FDF" w:rsidRDefault="00791CF0" w:rsidP="00791CF0">
      <w:pPr>
        <w:pStyle w:val="ListParagraph"/>
        <w:numPr>
          <w:ilvl w:val="0"/>
          <w:numId w:val="15"/>
        </w:numPr>
      </w:pPr>
      <w:r>
        <w:t xml:space="preserve">esošā monitoringa sistēma rada situāciju, kad vienā aglomerācijā </w:t>
      </w:r>
      <w:r w:rsidR="000E7FDF">
        <w:t xml:space="preserve">viena “pieslēgtā” iedzīvotāja radītā piesārņojuma slodze </w:t>
      </w:r>
      <w:r>
        <w:t xml:space="preserve">gadu no gada </w:t>
      </w:r>
      <w:r w:rsidR="000E7FDF">
        <w:t>var ļoti būtiski atšķiries</w:t>
      </w:r>
      <w:r>
        <w:t>. Piemēram:</w:t>
      </w:r>
    </w:p>
    <w:p w:rsidR="00791CF0" w:rsidRDefault="00791CF0" w:rsidP="00791CF0">
      <w:pPr>
        <w:pStyle w:val="ListParagraph"/>
        <w:numPr>
          <w:ilvl w:val="0"/>
          <w:numId w:val="16"/>
        </w:numPr>
      </w:pPr>
      <w:r>
        <w:t>Aizpute: 1 iedzīvotājs 2016. g. radījis 0,441 CE slodzi, 2017. g.: 0,681 CE (aptuveni +54%);</w:t>
      </w:r>
    </w:p>
    <w:p w:rsidR="00791CF0" w:rsidRDefault="00791CF0" w:rsidP="00791CF0">
      <w:pPr>
        <w:pStyle w:val="ListParagraph"/>
        <w:numPr>
          <w:ilvl w:val="0"/>
          <w:numId w:val="16"/>
        </w:numPr>
      </w:pPr>
      <w:r>
        <w:t>Balvi: 1 iedzīvotājs 2016. g. radījis 0,791 CE slodzi, 2017. g.: 0,426 CE (aptuveni -33%);</w:t>
      </w:r>
    </w:p>
    <w:p w:rsidR="00791CF0" w:rsidRDefault="00791CF0" w:rsidP="00791CF0">
      <w:pPr>
        <w:pStyle w:val="ListParagraph"/>
        <w:numPr>
          <w:ilvl w:val="0"/>
          <w:numId w:val="16"/>
        </w:numPr>
      </w:pPr>
      <w:r>
        <w:t>Ikšķile: 1 iedzīvotājs 2016. g. radījis 1,526 CE slodzi, 2017. g.: 0,746 CE (aptuveni -51%);</w:t>
      </w:r>
    </w:p>
    <w:p w:rsidR="00791CF0" w:rsidRDefault="00791CF0" w:rsidP="00791CF0">
      <w:pPr>
        <w:pStyle w:val="ListParagraph"/>
        <w:numPr>
          <w:ilvl w:val="0"/>
          <w:numId w:val="16"/>
        </w:numPr>
      </w:pPr>
      <w:r>
        <w:t>Īslīce: 1 iedzīvotājs 2016. g. radījis 0.554 CE slodzi, 2017. g.: 2.736 CE (aptuveni +394%);</w:t>
      </w:r>
    </w:p>
    <w:p w:rsidR="00791CF0" w:rsidRDefault="00791CF0" w:rsidP="001D630C">
      <w:pPr>
        <w:ind w:left="709"/>
      </w:pPr>
      <w:r>
        <w:t>Šo sarakstu varētu turpināt ar Kandavu, Kārsavu, Krāslavu, Ozolniekiem, Priekuli, Roju, Varakļāniem.</w:t>
      </w:r>
    </w:p>
    <w:p w:rsidR="001D630C" w:rsidRDefault="001D630C" w:rsidP="001D630C">
      <w:pPr>
        <w:ind w:left="709"/>
      </w:pPr>
      <w:r>
        <w:t xml:space="preserve">Uz </w:t>
      </w:r>
      <w:r w:rsidR="00433170">
        <w:t>šādu</w:t>
      </w:r>
      <w:r>
        <w:t xml:space="preserve"> datu bāzes nav iespējams izstrādāt ticamu 1 iedzīvotāja radītās piesārņojuma slodzes novērtējumu.</w:t>
      </w:r>
    </w:p>
    <w:p w:rsidR="00FA7C5E" w:rsidRDefault="00FA7C5E" w:rsidP="00FA7C5E">
      <w:pPr>
        <w:pStyle w:val="ListParagraph"/>
        <w:numPr>
          <w:ilvl w:val="0"/>
          <w:numId w:val="15"/>
        </w:numPr>
        <w:ind w:left="714" w:hanging="357"/>
        <w:contextualSpacing w:val="0"/>
      </w:pPr>
      <w:r>
        <w:t>pat ja izdotos sakārtot monitoringa sistēmu, dažādās aglomerācijās ir liela atšķirība starp 1 “pieslēgtā” iedzīvotāja radīto piesārņojumu.</w:t>
      </w:r>
    </w:p>
    <w:p w:rsidR="00EC5F2A" w:rsidRDefault="00EC5F2A" w:rsidP="00EC5F2A">
      <w:pPr>
        <w:pStyle w:val="ListParagraph"/>
        <w:ind w:left="714"/>
        <w:contextualSpacing w:val="0"/>
      </w:pPr>
      <w:r>
        <w:t>Piemēram, Aucē tas 2016. un 2017. g. bija &lt;0,1 CE; apsekošanas laikā 0,457 CE.</w:t>
      </w:r>
    </w:p>
    <w:p w:rsidR="00EC5F2A" w:rsidRDefault="00EC5F2A" w:rsidP="00EC5F2A">
      <w:pPr>
        <w:pStyle w:val="ListParagraph"/>
        <w:ind w:left="714"/>
        <w:contextualSpacing w:val="0"/>
      </w:pPr>
      <w:r>
        <w:t>Pļaviņās</w:t>
      </w:r>
      <w:r w:rsidRPr="00EC5F2A">
        <w:t xml:space="preserve"> </w:t>
      </w:r>
      <w:r>
        <w:t>tas 2016. un 2017. g. bija 0,24 – 0,34 CE; apsekošanas laikā 0,37 CE.</w:t>
      </w:r>
    </w:p>
    <w:p w:rsidR="00EC5F2A" w:rsidRDefault="00EC5F2A" w:rsidP="00EC5F2A">
      <w:pPr>
        <w:pStyle w:val="ListParagraph"/>
        <w:ind w:left="714"/>
        <w:contextualSpacing w:val="0"/>
      </w:pPr>
      <w:r>
        <w:t>Toties Jaunpiebalgā</w:t>
      </w:r>
      <w:r w:rsidRPr="00EC5F2A">
        <w:t xml:space="preserve"> </w:t>
      </w:r>
      <w:r>
        <w:t>tas 2016. un 2017. g. bija 5,6 – 5,9 CE; apsekošanas laikā 7,27 CE.</w:t>
      </w:r>
    </w:p>
    <w:p w:rsidR="00EC5F2A" w:rsidRDefault="00EC5F2A" w:rsidP="00EC5F2A">
      <w:pPr>
        <w:pStyle w:val="ListParagraph"/>
        <w:ind w:left="714"/>
        <w:contextualSpacing w:val="0"/>
      </w:pPr>
      <w:r>
        <w:t>Ozolniekos</w:t>
      </w:r>
      <w:r w:rsidRPr="00EC5F2A">
        <w:t xml:space="preserve"> </w:t>
      </w:r>
      <w:r>
        <w:t>tas 2016. un 2017. g. bija 1,3 – 2,1 CE; apsekošanas laikā 2 CE.</w:t>
      </w:r>
    </w:p>
    <w:p w:rsidR="00EC5F2A" w:rsidRDefault="00EC5F2A" w:rsidP="00EC5F2A">
      <w:pPr>
        <w:pStyle w:val="ListParagraph"/>
        <w:ind w:left="714"/>
        <w:contextualSpacing w:val="0"/>
      </w:pPr>
      <w:r>
        <w:t>Šādu izkliedi nevar aptvert ar vienu universālu formulu. Tā liecina, ka katrā aglomerācijā nepieciešama sava formula – vai arī jāpilnveido monitoringa sistēma un jāvadās nevis pēc abstraktas formulas, bet gan jāseko līdzi reāliem datiem.</w:t>
      </w:r>
    </w:p>
    <w:p w:rsidR="001D630C" w:rsidRDefault="001D630C" w:rsidP="001D630C">
      <w:pPr>
        <w:pStyle w:val="ListParagraph"/>
        <w:numPr>
          <w:ilvl w:val="0"/>
          <w:numId w:val="15"/>
        </w:numPr>
        <w:ind w:left="714" w:hanging="357"/>
        <w:contextualSpacing w:val="0"/>
      </w:pPr>
      <w:r>
        <w:t>esošā monitoringa sistēma pilnībā ignorē milzīgās atšķirības asenizācijas (izvedamo cisternu) notekūdeņos.</w:t>
      </w:r>
    </w:p>
    <w:p w:rsidR="001D630C" w:rsidRDefault="001D630C" w:rsidP="00FA7C5E">
      <w:pPr>
        <w:pStyle w:val="ListParagraph"/>
        <w:contextualSpacing w:val="0"/>
      </w:pPr>
      <w:r>
        <w:t>Izpēte parādīja, ka izvedamo cisternu notekūdeņos ĶSP var svārstīties 920 – 66 000 mg/L robežās, BSP</w:t>
      </w:r>
      <w:r w:rsidRPr="001D630C">
        <w:rPr>
          <w:vertAlign w:val="subscript"/>
        </w:rPr>
        <w:t>5</w:t>
      </w:r>
      <w:r>
        <w:t xml:space="preserve">: 300 – 19 000 mg/L robežās, </w:t>
      </w:r>
      <w:r w:rsidRPr="001D630C">
        <w:t>iespējams</w:t>
      </w:r>
      <w:r>
        <w:t>, pat plašākās. Tajā pašā laikā esošā monitoringa sistēma pilnībā ignorē šīs piesārņojums svārstības. Tiek uzskaitīts tikai ar cisternām atvesto notekūdeņu kopējais daudzums.</w:t>
      </w:r>
    </w:p>
    <w:p w:rsidR="00FA7C5E" w:rsidRDefault="00FA7C5E" w:rsidP="00FA7C5E">
      <w:pPr>
        <w:pStyle w:val="ListParagraph"/>
        <w:contextualSpacing w:val="0"/>
      </w:pPr>
      <w:r>
        <w:t xml:space="preserve">NAI personāls pārsvarā ir iemācījies, kādu daudzumu izvedamo cisternu ūdeņu NAI spēj pieņemt diennaktī vai nedēļā, taču tā ir tīri empīriska pieredze, kas nav pamatota ne ar kādiem aprēķiniem. </w:t>
      </w:r>
    </w:p>
    <w:p w:rsidR="00EC5F2A" w:rsidRDefault="00EC5F2A" w:rsidP="00FA7C5E">
      <w:pPr>
        <w:pStyle w:val="ListParagraph"/>
        <w:contextualSpacing w:val="0"/>
      </w:pPr>
      <w:r>
        <w:t>Neskaidrības par izvedamo cisternu notekūdeņu radīto piesārņojuma slodzi labi parāda lielais kļūdu daudzums Ūdens-2 formās, kur nezinot faktisko slodzi, bieži vien tiek ievadītas maz ticamas piesārņojuma slodzes vērtības.</w:t>
      </w:r>
    </w:p>
    <w:p w:rsidR="00791CF0" w:rsidRDefault="00791CF0" w:rsidP="00FA7C5E"/>
    <w:p w:rsidR="00FA01BF" w:rsidRDefault="00FA01BF" w:rsidP="00FA7C5E">
      <w:r>
        <w:t>Šī pētījuma ietvaros apsekotajās aglomerācijās prasības notekūdeņu attīrīšanai ir visai vienkāršas: attīrītajos notekūdeņos ir jānodrošina tikai ĶSP, BSP</w:t>
      </w:r>
      <w:r w:rsidRPr="00FA01BF">
        <w:rPr>
          <w:vertAlign w:val="subscript"/>
        </w:rPr>
        <w:t>5</w:t>
      </w:r>
      <w:r>
        <w:t xml:space="preserve"> un suspendēto vielu normatīva izpilde. Lielākā daļa Latvijas aglomerāciju notekūdeņu attīrīšanas ietaišu </w:t>
      </w:r>
      <w:r>
        <w:lastRenderedPageBreak/>
        <w:t xml:space="preserve">pēdējos 10 – 20 gados ir rekonstruētas, tāpēc tām pārsvarā nesagādā grūtības minētos normatīvus izpildīt. </w:t>
      </w:r>
    </w:p>
    <w:p w:rsidR="00BB00B1" w:rsidRDefault="00FA01BF" w:rsidP="00FA7C5E">
      <w:r>
        <w:t>Jāņem arī vērā iedzīvotāju skaita samazināšanās un ūdens patēriņa uz 1 iedzīvotāju kritums. NAI, kas ir projektētas lielākai hidrauliskajai slodzei (un attiecīgi relatīvi īsam attīrāmā ūdens uzturēšanās laikam tajās), tagad strādā ar ievērojami mazāku hidraulisko noslodzi. Notekūdeņu uzturēšanās laiks tajās ir ievērojami lielāks par projektēto, kas ļauj pieņemt lielāku piesārņojuma slodzi un veicina NAI stabilu darbību pat pie īslaicīgiem slodzes pīķiem.</w:t>
      </w:r>
    </w:p>
    <w:p w:rsidR="008621D5" w:rsidRDefault="00FA01BF" w:rsidP="00FA7C5E">
      <w:r>
        <w:t>Situācija ūdenssaimniecības uzņēmumiem tāpēc pārsvarā ir salīdzinoši komfortabla, un tie nav pārāk ieinteresēti precīzā piesārņojuma slodzes monitoringā</w:t>
      </w:r>
      <w:r w:rsidR="00433170">
        <w:t>.</w:t>
      </w:r>
      <w:r>
        <w:t xml:space="preserve"> NAI tiek ekspluatētas nevis balstoties uz mērījumiem un aprēķiniem, bet gan “pēc pieredzes”.</w:t>
      </w:r>
    </w:p>
    <w:p w:rsidR="006F23D8" w:rsidRDefault="006F23D8" w:rsidP="00FA7C5E">
      <w:r>
        <w:t xml:space="preserve">Esošā monitoringa sistēma ļauj ūdenssaimniecības uzņēmumiem atrasties šajā komforta zonā </w:t>
      </w:r>
      <w:r w:rsidR="008621D5">
        <w:t>Tā ir orientēta uz formālu atskaišu sagatavošanu, nevis uz tādas datu bāzes uzkrāšanu, kas ļautu identificēt potenciālas problēmas un sniegt rekomendācijas NAI ekspluatācijā un attīstības stratēģijas izveidošanā.</w:t>
      </w:r>
    </w:p>
    <w:p w:rsidR="008621D5" w:rsidRDefault="008621D5" w:rsidP="00FA7C5E">
      <w:r>
        <w:t>Rezumējot: ūdenssaimniecības nav ieinteresētas pašas veikt ienākošās piesārņojuma slodzes (un arī NAI darbības) monitoringu. Esošā ārējā monitoringa sistēma atzīstama par nepietiekamu tādu datu ieguvei, kas ļautu NAI ekspluatēt balstoties uz mērījumiem un aprēķiniem.</w:t>
      </w:r>
      <w:r w:rsidR="00433170">
        <w:t xml:space="preserve"> Mēģinājumi aprēķināt piesārņojuma slodzes, izmantojot esošās monitoringa sistēmas datus un universālu formulu, neizbēgami dos lielu </w:t>
      </w:r>
      <w:r w:rsidR="005608F1">
        <w:t>rezultātu nenoteiktību</w:t>
      </w:r>
      <w:r w:rsidR="00433170">
        <w:t>.</w:t>
      </w:r>
    </w:p>
    <w:p w:rsidR="008621D5" w:rsidRDefault="008621D5" w:rsidP="00FA7C5E"/>
    <w:p w:rsidR="00EC7B19" w:rsidRDefault="00EC7B19" w:rsidP="00FA7C5E">
      <w:r w:rsidRPr="001C333E">
        <w:rPr>
          <w:u w:val="single"/>
        </w:rPr>
        <w:t>Rekomendācijas</w:t>
      </w:r>
      <w:r>
        <w:t>:</w:t>
      </w:r>
    </w:p>
    <w:p w:rsidR="00EC7B19" w:rsidRDefault="00EC7B19" w:rsidP="00FA7C5E">
      <w:r>
        <w:t>Ir skaidrs, ka precīzāk novērtēt notekūdeņu attīrīšanas ietaisēs ienākošo piesārņojuma slodzi var tikai uzlabojot monitoringa sistēmu:</w:t>
      </w:r>
    </w:p>
    <w:p w:rsidR="001C333E" w:rsidRPr="001C333E" w:rsidRDefault="001C333E" w:rsidP="00FA7C5E">
      <w:r w:rsidRPr="001C333E">
        <w:t>1. Automātiskie paraugu ņēmēji.</w:t>
      </w:r>
    </w:p>
    <w:p w:rsidR="00EC7B19" w:rsidRDefault="001C333E" w:rsidP="00FA7C5E">
      <w:r>
        <w:t xml:space="preserve">Virknē apsekoto notekūdeņu attīrīšanas ietaišu jau ir automātiskie notekūdeņu paraugu ņēmēji, kas ļauj savākt notekūdeņu diennakts vidējos paraugus, taču tie netiek izmantoti. Būtu ieteicams apzināt aglomerācijas, kur šādi paraugu ņēmēji ir, un uzlikt tām par pienākumu regulārajā monitoringā iesniegt nevis momentānos, bet gan diennakts vidējos (laikam vai plūsmai proporcionālus) paraugus. </w:t>
      </w:r>
    </w:p>
    <w:p w:rsidR="001C333E" w:rsidRDefault="001C333E" w:rsidP="00FA7C5E">
      <w:r>
        <w:t>Ir skaidrs, ka mazākajās no apsekotajām aglomerācijām būtu problemātiski pieprasīt automātisku diennakts vidējo paraugu vākšanu obligātā kārtībā, taču lielākajās aglomerācijas tas varētu būt iespējams.</w:t>
      </w:r>
    </w:p>
    <w:p w:rsidR="001C333E" w:rsidRDefault="001C333E" w:rsidP="00FA7C5E">
      <w:r>
        <w:t>2. Izvedamo cisternu reģistrs</w:t>
      </w:r>
    </w:p>
    <w:p w:rsidR="001C333E" w:rsidRDefault="001C333E" w:rsidP="00FA7C5E">
      <w:r>
        <w:t>Šobrīd aglomerācijās pārsvarā tiek uzskaitīts tikai kopējais ar cisternām ievesto notekūdeņu daudzums. Būtu ieteicams pārņemt Aizputes piemēru, kur cisternas tiek dalītas un reģistrētas 3 grupās:</w:t>
      </w:r>
    </w:p>
    <w:p w:rsidR="001C333E" w:rsidRDefault="001C333E" w:rsidP="001C333E">
      <w:pPr>
        <w:pStyle w:val="ListParagraph"/>
        <w:numPr>
          <w:ilvl w:val="0"/>
          <w:numId w:val="17"/>
        </w:numPr>
      </w:pPr>
      <w:r>
        <w:t>kanalizācija (t.i. izsmeļamās bedres mājsaimniecībās, kurās lieto noskalojamās tualetes un bedrēm ir pieslēgtas arī vannas istabas/dušas);</w:t>
      </w:r>
    </w:p>
    <w:p w:rsidR="001C333E" w:rsidRDefault="001C333E" w:rsidP="001C333E">
      <w:pPr>
        <w:pStyle w:val="ListParagraph"/>
        <w:numPr>
          <w:ilvl w:val="0"/>
          <w:numId w:val="17"/>
        </w:numPr>
      </w:pPr>
      <w:r>
        <w:t>sausās tualetes,</w:t>
      </w:r>
    </w:p>
    <w:p w:rsidR="001C333E" w:rsidRDefault="001C333E" w:rsidP="001C333E">
      <w:pPr>
        <w:pStyle w:val="ListParagraph"/>
        <w:numPr>
          <w:ilvl w:val="0"/>
          <w:numId w:val="17"/>
        </w:numPr>
      </w:pPr>
      <w:r>
        <w:t>septiskās akas.</w:t>
      </w:r>
    </w:p>
    <w:p w:rsidR="001C333E" w:rsidRDefault="001C333E" w:rsidP="00FA7C5E">
      <w:r>
        <w:t>Šāda kārtība nav ideāla, tomēr ļautu ieviest vismaz minimālu gradāciju un precīzāk aprēķināt ar cisternām ievesto piesārņojuma slodzi.</w:t>
      </w:r>
    </w:p>
    <w:p w:rsidR="001306DD" w:rsidRPr="001306DD" w:rsidRDefault="001306DD" w:rsidP="001306DD">
      <w:r>
        <w:rPr>
          <w:lang w:eastAsia="en-US"/>
        </w:rPr>
        <w:lastRenderedPageBreak/>
        <w:t>Varētu apsvērt arī korekcijas “Ūdens-2” formā, kur sadaļā “Kanalizācijas sistēmas” (“J” tabula) būtu ieteicams:</w:t>
      </w:r>
    </w:p>
    <w:p w:rsidR="001306DD" w:rsidRPr="001306DD" w:rsidRDefault="001306DD" w:rsidP="001306DD">
      <w:pPr>
        <w:pStyle w:val="ListParagraph"/>
        <w:numPr>
          <w:ilvl w:val="0"/>
          <w:numId w:val="19"/>
        </w:numPr>
      </w:pPr>
      <w:r w:rsidRPr="001306DD">
        <w:rPr>
          <w:lang w:eastAsia="en-US"/>
        </w:rPr>
        <w:t xml:space="preserve">ieviest uzskaiti </w:t>
      </w:r>
      <w:r>
        <w:rPr>
          <w:lang w:eastAsia="en-US"/>
        </w:rPr>
        <w:t>kubikmetros (</w:t>
      </w:r>
      <w:r w:rsidRPr="001306DD">
        <w:rPr>
          <w:lang w:eastAsia="en-US"/>
        </w:rPr>
        <w:t>m</w:t>
      </w:r>
      <w:r w:rsidRPr="001306DD">
        <w:rPr>
          <w:vertAlign w:val="superscript"/>
          <w:lang w:eastAsia="en-US"/>
        </w:rPr>
        <w:t>3</w:t>
      </w:r>
      <w:r>
        <w:rPr>
          <w:lang w:eastAsia="en-US"/>
        </w:rPr>
        <w:t>)</w:t>
      </w:r>
      <w:r w:rsidRPr="001306DD">
        <w:rPr>
          <w:lang w:eastAsia="en-US"/>
        </w:rPr>
        <w:t xml:space="preserve">, nevis tūkstošos </w:t>
      </w:r>
      <w:r>
        <w:rPr>
          <w:lang w:eastAsia="en-US"/>
        </w:rPr>
        <w:t>kubikmetru</w:t>
      </w:r>
      <w:r w:rsidRPr="001306DD">
        <w:rPr>
          <w:lang w:eastAsia="en-US"/>
        </w:rPr>
        <w:t>;</w:t>
      </w:r>
    </w:p>
    <w:p w:rsidR="001306DD" w:rsidRPr="001306DD" w:rsidRDefault="001306DD" w:rsidP="001306DD">
      <w:pPr>
        <w:pStyle w:val="ListParagraph"/>
        <w:numPr>
          <w:ilvl w:val="0"/>
          <w:numId w:val="19"/>
        </w:numPr>
      </w:pPr>
      <w:r w:rsidRPr="001306DD">
        <w:rPr>
          <w:lang w:eastAsia="en-US"/>
        </w:rPr>
        <w:t>ieviest gradāciju vismaz 3 daļās (pēc Aizputes parauga),</w:t>
      </w:r>
    </w:p>
    <w:p w:rsidR="001306DD" w:rsidRPr="001306DD" w:rsidRDefault="001306DD" w:rsidP="001306DD">
      <w:pPr>
        <w:pStyle w:val="ListParagraph"/>
        <w:numPr>
          <w:ilvl w:val="0"/>
          <w:numId w:val="19"/>
        </w:numPr>
      </w:pPr>
      <w:r w:rsidRPr="001306DD">
        <w:rPr>
          <w:lang w:eastAsia="en-US"/>
        </w:rPr>
        <w:t>CE ekvivalentu aprēķināt automātiski, pieņemot katram paveidam (kanalizācija - sausās tualetes - septiķis) savu ĶSP un BSP5 vērtību, kas tiktu pareizināta ar attiecīgo reģistrēto tilpumu.</w:t>
      </w:r>
    </w:p>
    <w:p w:rsidR="001306DD" w:rsidRDefault="001306DD" w:rsidP="00FA7C5E"/>
    <w:p w:rsidR="001C333E" w:rsidRDefault="001C333E" w:rsidP="00FA7C5E">
      <w:r>
        <w:t>3. Elektroenerģijas patēriņš.</w:t>
      </w:r>
    </w:p>
    <w:p w:rsidR="001C333E" w:rsidRDefault="001C333E" w:rsidP="00FA7C5E">
      <w:r>
        <w:t>Lai ieinteresētu ūdenssaimniecību vadību monitoringa rezultātos, būtu apsverama doma prasīt “Ūdens-2” formās norādīt arī elektroenerģijas patēriņu notekūdeņu attīrīšanas ietaisēs. Elektroenerģijas skaitītāji ir visās notekūdeņu attīrīšanas ietaisēs, un vismaz par kopējo elektroenerģijas patēriņu dati parasti ir pieejami.</w:t>
      </w:r>
    </w:p>
    <w:p w:rsidR="001C333E" w:rsidRDefault="001C333E" w:rsidP="00FA7C5E">
      <w:r>
        <w:t>Šos datus varētu izmantot, lai aprēķinātu elektroenerģijas patēriņu uz 1 m</w:t>
      </w:r>
      <w:r w:rsidRPr="001C333E">
        <w:rPr>
          <w:vertAlign w:val="superscript"/>
        </w:rPr>
        <w:t>3</w:t>
      </w:r>
      <w:r>
        <w:t xml:space="preserve"> notekūdeņu, vai 1 kg BSP</w:t>
      </w:r>
      <w:r w:rsidRPr="001C333E">
        <w:rPr>
          <w:vertAlign w:val="subscript"/>
        </w:rPr>
        <w:t>5</w:t>
      </w:r>
      <w:r>
        <w:t xml:space="preserve"> vai ĶSP. Tas ļautu identificēt aglomerācijas, kurās elektroenerģijas patēriņš uz 1 vienību ir vislielākais, un iniciēt padziļinātu izpēti un pasākumu komplektu energoefektivitātes paaugstināšanai. </w:t>
      </w:r>
    </w:p>
    <w:p w:rsidR="001C333E" w:rsidRPr="001C333E" w:rsidRDefault="001C333E" w:rsidP="00FA7C5E">
      <w:r>
        <w:t>Tā kā augstāka energoefektivitāte nozīmētu mazākas izmaksas par elektroenerģiju, ūdenssaimniecības varētu būt relatīvi atvērtas šādam monitoringam. Ja energoefektivitātes pasākumu pamatošana prasītu papildus notekūdeņu piesārņojuma slodzes analīzes, ūdenssaimniecība būs ieinteresēta tās veikt, un tas nāktu tikai par labu šajā pētījumā definēto mērķu sasniegšanai.</w:t>
      </w:r>
    </w:p>
    <w:p w:rsidR="00EC7B19" w:rsidRDefault="00EC7B19" w:rsidP="00FA7C5E"/>
    <w:p w:rsidR="008621D5" w:rsidRDefault="008621D5" w:rsidP="00FA7C5E"/>
    <w:p w:rsidR="005608F1" w:rsidRDefault="001C333E" w:rsidP="001C333E">
      <w:pPr>
        <w:pStyle w:val="Heading1"/>
      </w:pPr>
      <w:r>
        <w:t>Pateicība</w:t>
      </w:r>
    </w:p>
    <w:p w:rsidR="001C333E" w:rsidRDefault="001C333E" w:rsidP="001C333E">
      <w:r>
        <w:t>Vēlos pateikties šajā pētījumā iesaistīto komunālo dienestu personālam par atsaucību un palīdzību notekūdeņu paraugu vākšanā un datu apkopošanā.</w:t>
      </w:r>
    </w:p>
    <w:p w:rsidR="001C333E" w:rsidRDefault="001C333E" w:rsidP="001C333E"/>
    <w:p w:rsidR="001C333E" w:rsidRDefault="001C333E" w:rsidP="001C333E"/>
    <w:p w:rsidR="001C333E" w:rsidRPr="001C333E" w:rsidRDefault="001C333E" w:rsidP="001C333E"/>
    <w:p w:rsidR="005608F1" w:rsidRDefault="005608F1" w:rsidP="00FA7C5E">
      <w:r>
        <w:t>J. Jansons</w:t>
      </w:r>
    </w:p>
    <w:p w:rsidR="005608F1" w:rsidRDefault="005608F1" w:rsidP="00FA7C5E"/>
    <w:p w:rsidR="005608F1" w:rsidRDefault="005608F1" w:rsidP="00FA7C5E"/>
    <w:p w:rsidR="00BB00B1" w:rsidRDefault="005608F1" w:rsidP="00FA7C5E">
      <w:r>
        <w:t>SIA LaKalme</w:t>
      </w:r>
    </w:p>
    <w:p w:rsidR="005608F1" w:rsidRPr="00BB00B1" w:rsidRDefault="005608F1" w:rsidP="00FA7C5E">
      <w:r>
        <w:t>Projektu vadītājs</w:t>
      </w:r>
    </w:p>
    <w:sectPr w:rsidR="005608F1" w:rsidRPr="00BB00B1" w:rsidSect="009954C6">
      <w:headerReference w:type="default" r:id="rId27"/>
      <w:footerReference w:type="default" r:id="rId28"/>
      <w:pgSz w:w="11906" w:h="16838" w:code="9"/>
      <w:pgMar w:top="1440" w:right="1418"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A9D" w:rsidRDefault="001B2A9D" w:rsidP="009954C6">
      <w:pPr>
        <w:spacing w:after="0"/>
      </w:pPr>
      <w:r>
        <w:separator/>
      </w:r>
    </w:p>
  </w:endnote>
  <w:endnote w:type="continuationSeparator" w:id="0">
    <w:p w:rsidR="001B2A9D" w:rsidRDefault="001B2A9D" w:rsidP="009954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3D8" w:rsidRPr="009954C6" w:rsidRDefault="006F23D8">
    <w:pPr>
      <w:pStyle w:val="Footer"/>
      <w:rPr>
        <w:sz w:val="20"/>
        <w:szCs w:val="20"/>
      </w:rPr>
    </w:pPr>
    <w:r>
      <w:tab/>
    </w:r>
    <w:r>
      <w:tab/>
    </w:r>
    <w:r w:rsidRPr="009954C6">
      <w:rPr>
        <w:sz w:val="20"/>
        <w:szCs w:val="20"/>
      </w:rPr>
      <w:fldChar w:fldCharType="begin"/>
    </w:r>
    <w:r w:rsidRPr="009954C6">
      <w:rPr>
        <w:sz w:val="20"/>
        <w:szCs w:val="20"/>
      </w:rPr>
      <w:instrText xml:space="preserve"> PAGE  \* Arabic  \* MERGEFORMAT </w:instrText>
    </w:r>
    <w:r w:rsidRPr="009954C6">
      <w:rPr>
        <w:sz w:val="20"/>
        <w:szCs w:val="20"/>
      </w:rPr>
      <w:fldChar w:fldCharType="separate"/>
    </w:r>
    <w:r w:rsidR="00967FB6">
      <w:rPr>
        <w:noProof/>
        <w:sz w:val="20"/>
        <w:szCs w:val="20"/>
      </w:rPr>
      <w:t>2</w:t>
    </w:r>
    <w:r w:rsidRPr="009954C6">
      <w:rPr>
        <w:sz w:val="20"/>
        <w:szCs w:val="20"/>
      </w:rPr>
      <w:fldChar w:fldCharType="end"/>
    </w:r>
    <w:r w:rsidRPr="009954C6">
      <w:rPr>
        <w:sz w:val="20"/>
        <w:szCs w:val="20"/>
      </w:rPr>
      <w:t xml:space="preserve">. no </w:t>
    </w:r>
    <w:r w:rsidRPr="009954C6">
      <w:rPr>
        <w:sz w:val="20"/>
        <w:szCs w:val="20"/>
      </w:rPr>
      <w:fldChar w:fldCharType="begin"/>
    </w:r>
    <w:r w:rsidRPr="009954C6">
      <w:rPr>
        <w:sz w:val="20"/>
        <w:szCs w:val="20"/>
      </w:rPr>
      <w:instrText xml:space="preserve"> NUMPAGES  \* Arabic  \* MERGEFORMAT </w:instrText>
    </w:r>
    <w:r w:rsidRPr="009954C6">
      <w:rPr>
        <w:sz w:val="20"/>
        <w:szCs w:val="20"/>
      </w:rPr>
      <w:fldChar w:fldCharType="separate"/>
    </w:r>
    <w:r w:rsidR="00967FB6">
      <w:rPr>
        <w:noProof/>
        <w:sz w:val="20"/>
        <w:szCs w:val="20"/>
      </w:rPr>
      <w:t>28</w:t>
    </w:r>
    <w:r w:rsidRPr="009954C6">
      <w:rPr>
        <w:sz w:val="20"/>
        <w:szCs w:val="20"/>
      </w:rPr>
      <w:fldChar w:fldCharType="end"/>
    </w:r>
    <w:r w:rsidRPr="009954C6">
      <w:rPr>
        <w:sz w:val="20"/>
        <w:szCs w:val="20"/>
      </w:rPr>
      <w:t>. lappusēm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A9D" w:rsidRDefault="001B2A9D" w:rsidP="009954C6">
      <w:pPr>
        <w:spacing w:after="0"/>
      </w:pPr>
      <w:r>
        <w:separator/>
      </w:r>
    </w:p>
  </w:footnote>
  <w:footnote w:type="continuationSeparator" w:id="0">
    <w:p w:rsidR="001B2A9D" w:rsidRDefault="001B2A9D" w:rsidP="009954C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3D8" w:rsidRDefault="006F23D8">
    <w:pPr>
      <w:pStyle w:val="Header"/>
      <w:pBdr>
        <w:bottom w:val="single" w:sz="12" w:space="1" w:color="auto"/>
      </w:pBdr>
    </w:pPr>
    <w:r w:rsidRPr="009954C6">
      <w:t>VARAM 1L/</w:t>
    </w:r>
    <w:r>
      <w:t>34</w:t>
    </w:r>
    <w:r w:rsidRPr="009954C6">
      <w:t>/201</w:t>
    </w:r>
    <w:r>
      <w:t>8</w:t>
    </w:r>
    <w:r w:rsidRPr="009954C6">
      <w:tab/>
    </w:r>
    <w:r>
      <w:t xml:space="preserve">Gala </w:t>
    </w:r>
    <w:r w:rsidRPr="009954C6">
      <w:t>ziņojums</w:t>
    </w:r>
    <w:r>
      <w:t>, 2. daļa</w:t>
    </w:r>
  </w:p>
  <w:p w:rsidR="006F23D8" w:rsidRPr="009954C6" w:rsidRDefault="006F23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D431B"/>
    <w:multiLevelType w:val="hybridMultilevel"/>
    <w:tmpl w:val="412CAE1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B6E709A"/>
    <w:multiLevelType w:val="hybridMultilevel"/>
    <w:tmpl w:val="88FA598E"/>
    <w:lvl w:ilvl="0" w:tplc="04260005">
      <w:start w:val="1"/>
      <w:numFmt w:val="bullet"/>
      <w:lvlText w:val=""/>
      <w:lvlJc w:val="left"/>
      <w:pPr>
        <w:ind w:left="720" w:hanging="360"/>
      </w:pPr>
      <w:rPr>
        <w:rFonts w:ascii="Wingdings" w:hAnsi="Wingdings" w:hint="default"/>
      </w:rPr>
    </w:lvl>
    <w:lvl w:ilvl="1" w:tplc="F1C0E982">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EFE2F3B"/>
    <w:multiLevelType w:val="hybridMultilevel"/>
    <w:tmpl w:val="73201940"/>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FF82018"/>
    <w:multiLevelType w:val="hybridMultilevel"/>
    <w:tmpl w:val="EECEF8D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793638A"/>
    <w:multiLevelType w:val="hybridMultilevel"/>
    <w:tmpl w:val="737023B8"/>
    <w:lvl w:ilvl="0" w:tplc="41A236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FF5128E"/>
    <w:multiLevelType w:val="hybridMultilevel"/>
    <w:tmpl w:val="03FAFE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A6602F"/>
    <w:multiLevelType w:val="hybridMultilevel"/>
    <w:tmpl w:val="73F4E9D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61E4CA8"/>
    <w:multiLevelType w:val="hybridMultilevel"/>
    <w:tmpl w:val="3A1CB78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09D0AEE"/>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55353D9"/>
    <w:multiLevelType w:val="hybridMultilevel"/>
    <w:tmpl w:val="8160C2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9F3619"/>
    <w:multiLevelType w:val="hybridMultilevel"/>
    <w:tmpl w:val="463E0D12"/>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46877739"/>
    <w:multiLevelType w:val="hybridMultilevel"/>
    <w:tmpl w:val="078AB73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D8360DD"/>
    <w:multiLevelType w:val="hybridMultilevel"/>
    <w:tmpl w:val="6F628D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25F4B38"/>
    <w:multiLevelType w:val="hybridMultilevel"/>
    <w:tmpl w:val="1ED88976"/>
    <w:lvl w:ilvl="0" w:tplc="8530F1A0">
      <w:start w:val="1"/>
      <w:numFmt w:val="decimal"/>
      <w:lvlText w:val="%1."/>
      <w:lvlJc w:val="left"/>
      <w:pPr>
        <w:ind w:left="720" w:hanging="360"/>
      </w:pPr>
      <w:rPr>
        <w:rFonts w:ascii="Times New Roman Bold" w:hAnsi="Times New Roman Bold" w:hint="default"/>
        <w:b/>
        <w:i w:val="0"/>
        <w:sz w:val="28"/>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FC84338"/>
    <w:multiLevelType w:val="hybridMultilevel"/>
    <w:tmpl w:val="F4F8829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6587F4E"/>
    <w:multiLevelType w:val="multilevel"/>
    <w:tmpl w:val="F6269B96"/>
    <w:lvl w:ilvl="0">
      <w:start w:val="1"/>
      <w:numFmt w:val="decimal"/>
      <w:lvlText w:val="%1"/>
      <w:lvlJc w:val="left"/>
      <w:pPr>
        <w:tabs>
          <w:tab w:val="num" w:pos="792"/>
        </w:tabs>
        <w:ind w:left="397" w:hanging="397"/>
      </w:pPr>
      <w:rPr>
        <w:b/>
        <w:i w:val="0"/>
        <w:sz w:val="28"/>
        <w:szCs w:val="28"/>
        <w:u w:val="none"/>
      </w:rPr>
    </w:lvl>
    <w:lvl w:ilvl="1">
      <w:start w:val="1"/>
      <w:numFmt w:val="decimal"/>
      <w:lvlText w:val="%1.%2"/>
      <w:lvlJc w:val="left"/>
      <w:pPr>
        <w:tabs>
          <w:tab w:val="num" w:pos="936"/>
        </w:tabs>
        <w:ind w:left="510" w:hanging="510"/>
      </w:pPr>
      <w:rPr>
        <w:b/>
        <w:i/>
        <w:sz w:val="24"/>
        <w:szCs w:val="24"/>
      </w:rPr>
    </w:lvl>
    <w:lvl w:ilvl="2">
      <w:start w:val="1"/>
      <w:numFmt w:val="decimal"/>
      <w:suff w:val="space"/>
      <w:lvlText w:val="%1.%2.%3"/>
      <w:lvlJc w:val="left"/>
      <w:pPr>
        <w:ind w:left="1080" w:hanging="720"/>
      </w:pPr>
      <w:rPr>
        <w:b w:val="0"/>
        <w:i/>
        <w:sz w:val="24"/>
        <w:szCs w:val="24"/>
      </w:rPr>
    </w:lvl>
    <w:lvl w:ilvl="3">
      <w:start w:val="1"/>
      <w:numFmt w:val="decimal"/>
      <w:lvlText w:val="%1.%2.%3.%4"/>
      <w:lvlJc w:val="left"/>
      <w:pPr>
        <w:tabs>
          <w:tab w:val="num" w:pos="1224"/>
        </w:tabs>
        <w:ind w:left="1224" w:hanging="864"/>
      </w:pPr>
      <w:rPr>
        <w:b w:val="0"/>
        <w:i w:val="0"/>
        <w:sz w:val="24"/>
      </w:rPr>
    </w:lvl>
    <w:lvl w:ilvl="4">
      <w:start w:val="1"/>
      <w:numFmt w:val="decimal"/>
      <w:lvlText w:val="%1.%2.%3.%4.%5"/>
      <w:lvlJc w:val="left"/>
      <w:pPr>
        <w:tabs>
          <w:tab w:val="num" w:pos="1368"/>
        </w:tabs>
        <w:ind w:left="1368" w:hanging="1008"/>
      </w:pPr>
      <w:rPr>
        <w:b w:val="0"/>
        <w:i/>
        <w:sz w:val="24"/>
      </w:r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6" w15:restartNumberingAfterBreak="0">
    <w:nsid w:val="6BB41F7C"/>
    <w:multiLevelType w:val="hybridMultilevel"/>
    <w:tmpl w:val="1804C29C"/>
    <w:lvl w:ilvl="0" w:tplc="04260005">
      <w:start w:val="1"/>
      <w:numFmt w:val="bullet"/>
      <w:lvlText w:val=""/>
      <w:lvlJc w:val="left"/>
      <w:pPr>
        <w:ind w:left="720" w:hanging="360"/>
      </w:pPr>
      <w:rPr>
        <w:rFonts w:ascii="Wingdings" w:hAnsi="Wingdings" w:hint="default"/>
      </w:rPr>
    </w:lvl>
    <w:lvl w:ilvl="1" w:tplc="04260005">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F927177"/>
    <w:multiLevelType w:val="hybridMultilevel"/>
    <w:tmpl w:val="84123D6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8D26B51"/>
    <w:multiLevelType w:val="hybridMultilevel"/>
    <w:tmpl w:val="9454DD6C"/>
    <w:lvl w:ilvl="0" w:tplc="04260005">
      <w:start w:val="1"/>
      <w:numFmt w:val="bullet"/>
      <w:lvlText w:val=""/>
      <w:lvlJc w:val="left"/>
      <w:pPr>
        <w:ind w:left="774" w:hanging="360"/>
      </w:pPr>
      <w:rPr>
        <w:rFonts w:ascii="Wingdings" w:hAnsi="Wingdings"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num w:numId="1">
    <w:abstractNumId w:val="8"/>
  </w:num>
  <w:num w:numId="2">
    <w:abstractNumId w:val="14"/>
  </w:num>
  <w:num w:numId="3">
    <w:abstractNumId w:val="15"/>
  </w:num>
  <w:num w:numId="4">
    <w:abstractNumId w:val="0"/>
  </w:num>
  <w:num w:numId="5">
    <w:abstractNumId w:val="4"/>
  </w:num>
  <w:num w:numId="6">
    <w:abstractNumId w:val="12"/>
  </w:num>
  <w:num w:numId="7">
    <w:abstractNumId w:val="18"/>
  </w:num>
  <w:num w:numId="8">
    <w:abstractNumId w:val="13"/>
  </w:num>
  <w:num w:numId="9">
    <w:abstractNumId w:val="17"/>
  </w:num>
  <w:num w:numId="10">
    <w:abstractNumId w:val="6"/>
  </w:num>
  <w:num w:numId="11">
    <w:abstractNumId w:val="7"/>
  </w:num>
  <w:num w:numId="12">
    <w:abstractNumId w:val="1"/>
  </w:num>
  <w:num w:numId="13">
    <w:abstractNumId w:val="3"/>
  </w:num>
  <w:num w:numId="14">
    <w:abstractNumId w:val="5"/>
  </w:num>
  <w:num w:numId="15">
    <w:abstractNumId w:val="9"/>
  </w:num>
  <w:num w:numId="16">
    <w:abstractNumId w:val="10"/>
  </w:num>
  <w:num w:numId="17">
    <w:abstractNumId w:val="11"/>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AA9"/>
    <w:rsid w:val="00002361"/>
    <w:rsid w:val="000075A3"/>
    <w:rsid w:val="000167F1"/>
    <w:rsid w:val="000278B6"/>
    <w:rsid w:val="00042FDA"/>
    <w:rsid w:val="00074986"/>
    <w:rsid w:val="00083773"/>
    <w:rsid w:val="000848F4"/>
    <w:rsid w:val="00090ABB"/>
    <w:rsid w:val="000A1882"/>
    <w:rsid w:val="000A3D73"/>
    <w:rsid w:val="000A597B"/>
    <w:rsid w:val="000A6424"/>
    <w:rsid w:val="000B4DE6"/>
    <w:rsid w:val="000C77FC"/>
    <w:rsid w:val="000D2EEE"/>
    <w:rsid w:val="000D41F6"/>
    <w:rsid w:val="000D57B0"/>
    <w:rsid w:val="000E7FDF"/>
    <w:rsid w:val="001237E7"/>
    <w:rsid w:val="001306DD"/>
    <w:rsid w:val="00131A1B"/>
    <w:rsid w:val="00150EC9"/>
    <w:rsid w:val="00151B50"/>
    <w:rsid w:val="00167714"/>
    <w:rsid w:val="001836EC"/>
    <w:rsid w:val="00197202"/>
    <w:rsid w:val="001B11AA"/>
    <w:rsid w:val="001B2A9D"/>
    <w:rsid w:val="001B43A4"/>
    <w:rsid w:val="001C333E"/>
    <w:rsid w:val="001C544B"/>
    <w:rsid w:val="001D630C"/>
    <w:rsid w:val="001F7B50"/>
    <w:rsid w:val="00241A69"/>
    <w:rsid w:val="0025082C"/>
    <w:rsid w:val="00261162"/>
    <w:rsid w:val="00270E42"/>
    <w:rsid w:val="002726FC"/>
    <w:rsid w:val="00284C39"/>
    <w:rsid w:val="002C64CB"/>
    <w:rsid w:val="002D1CCC"/>
    <w:rsid w:val="002D3CB4"/>
    <w:rsid w:val="002E2E0E"/>
    <w:rsid w:val="002F0140"/>
    <w:rsid w:val="00316080"/>
    <w:rsid w:val="00325C50"/>
    <w:rsid w:val="00334AC4"/>
    <w:rsid w:val="00355268"/>
    <w:rsid w:val="003951A6"/>
    <w:rsid w:val="003A303A"/>
    <w:rsid w:val="003A62BC"/>
    <w:rsid w:val="003B2505"/>
    <w:rsid w:val="003C05D6"/>
    <w:rsid w:val="003C708A"/>
    <w:rsid w:val="003D722E"/>
    <w:rsid w:val="003F2C0E"/>
    <w:rsid w:val="00406FAF"/>
    <w:rsid w:val="00433170"/>
    <w:rsid w:val="00445531"/>
    <w:rsid w:val="004469A0"/>
    <w:rsid w:val="00472F4F"/>
    <w:rsid w:val="004A2EE8"/>
    <w:rsid w:val="004B651A"/>
    <w:rsid w:val="004B7416"/>
    <w:rsid w:val="004D34E7"/>
    <w:rsid w:val="004E4613"/>
    <w:rsid w:val="004E5F60"/>
    <w:rsid w:val="005052F1"/>
    <w:rsid w:val="0051721A"/>
    <w:rsid w:val="00522A42"/>
    <w:rsid w:val="005260D1"/>
    <w:rsid w:val="0053002D"/>
    <w:rsid w:val="005608F1"/>
    <w:rsid w:val="0057149D"/>
    <w:rsid w:val="00572AAB"/>
    <w:rsid w:val="00587D23"/>
    <w:rsid w:val="005A1F9A"/>
    <w:rsid w:val="005C0FDA"/>
    <w:rsid w:val="005C52B5"/>
    <w:rsid w:val="005E1785"/>
    <w:rsid w:val="005E5A10"/>
    <w:rsid w:val="005F374F"/>
    <w:rsid w:val="005F4AA9"/>
    <w:rsid w:val="00642383"/>
    <w:rsid w:val="00670D23"/>
    <w:rsid w:val="00680207"/>
    <w:rsid w:val="006A0244"/>
    <w:rsid w:val="006B3AB2"/>
    <w:rsid w:val="006C1271"/>
    <w:rsid w:val="006C52A3"/>
    <w:rsid w:val="006D1E26"/>
    <w:rsid w:val="006D6387"/>
    <w:rsid w:val="006E5273"/>
    <w:rsid w:val="006E67E5"/>
    <w:rsid w:val="006F23D8"/>
    <w:rsid w:val="007048F2"/>
    <w:rsid w:val="00713D92"/>
    <w:rsid w:val="0073596C"/>
    <w:rsid w:val="00741BFE"/>
    <w:rsid w:val="0074691D"/>
    <w:rsid w:val="00760E7A"/>
    <w:rsid w:val="00783482"/>
    <w:rsid w:val="00791CF0"/>
    <w:rsid w:val="007A631A"/>
    <w:rsid w:val="007B299B"/>
    <w:rsid w:val="007C2522"/>
    <w:rsid w:val="007D20B5"/>
    <w:rsid w:val="00800F25"/>
    <w:rsid w:val="0083160F"/>
    <w:rsid w:val="008546F5"/>
    <w:rsid w:val="008621D5"/>
    <w:rsid w:val="00865895"/>
    <w:rsid w:val="008906F5"/>
    <w:rsid w:val="00893603"/>
    <w:rsid w:val="008B39C5"/>
    <w:rsid w:val="008C1C63"/>
    <w:rsid w:val="008C7949"/>
    <w:rsid w:val="00901E21"/>
    <w:rsid w:val="00904499"/>
    <w:rsid w:val="00910E52"/>
    <w:rsid w:val="00917A58"/>
    <w:rsid w:val="00920F5F"/>
    <w:rsid w:val="00922A8C"/>
    <w:rsid w:val="00941E03"/>
    <w:rsid w:val="00951221"/>
    <w:rsid w:val="00952C07"/>
    <w:rsid w:val="00956BD9"/>
    <w:rsid w:val="00967FB6"/>
    <w:rsid w:val="00981451"/>
    <w:rsid w:val="009954C6"/>
    <w:rsid w:val="009A187E"/>
    <w:rsid w:val="009B763A"/>
    <w:rsid w:val="009C2C8E"/>
    <w:rsid w:val="009D7B7A"/>
    <w:rsid w:val="009E37B8"/>
    <w:rsid w:val="009E37C4"/>
    <w:rsid w:val="009F20A3"/>
    <w:rsid w:val="009F3540"/>
    <w:rsid w:val="00A04AB2"/>
    <w:rsid w:val="00A102BE"/>
    <w:rsid w:val="00A149DD"/>
    <w:rsid w:val="00A4327E"/>
    <w:rsid w:val="00A57820"/>
    <w:rsid w:val="00A77AF2"/>
    <w:rsid w:val="00A84155"/>
    <w:rsid w:val="00A84B52"/>
    <w:rsid w:val="00A91632"/>
    <w:rsid w:val="00AA3878"/>
    <w:rsid w:val="00AB6F08"/>
    <w:rsid w:val="00AC6CC9"/>
    <w:rsid w:val="00AC7029"/>
    <w:rsid w:val="00AD1309"/>
    <w:rsid w:val="00AD20AB"/>
    <w:rsid w:val="00AE083A"/>
    <w:rsid w:val="00AE17E2"/>
    <w:rsid w:val="00AF2063"/>
    <w:rsid w:val="00AF6FC7"/>
    <w:rsid w:val="00B029A8"/>
    <w:rsid w:val="00B12C94"/>
    <w:rsid w:val="00B508D0"/>
    <w:rsid w:val="00B708EF"/>
    <w:rsid w:val="00B753CA"/>
    <w:rsid w:val="00B90CC0"/>
    <w:rsid w:val="00BA20D9"/>
    <w:rsid w:val="00BB00B1"/>
    <w:rsid w:val="00BE6276"/>
    <w:rsid w:val="00C039DC"/>
    <w:rsid w:val="00C31C7E"/>
    <w:rsid w:val="00C73003"/>
    <w:rsid w:val="00CA0C79"/>
    <w:rsid w:val="00CA259A"/>
    <w:rsid w:val="00CA7D1B"/>
    <w:rsid w:val="00CB6EF6"/>
    <w:rsid w:val="00CF09D6"/>
    <w:rsid w:val="00D21D46"/>
    <w:rsid w:val="00D25C0B"/>
    <w:rsid w:val="00D31AF9"/>
    <w:rsid w:val="00D51A2E"/>
    <w:rsid w:val="00D7001E"/>
    <w:rsid w:val="00D9428C"/>
    <w:rsid w:val="00D96D9A"/>
    <w:rsid w:val="00DA09B9"/>
    <w:rsid w:val="00DA2AD6"/>
    <w:rsid w:val="00DA428B"/>
    <w:rsid w:val="00DB6EDB"/>
    <w:rsid w:val="00DC2E8B"/>
    <w:rsid w:val="00DC7906"/>
    <w:rsid w:val="00DE21E5"/>
    <w:rsid w:val="00E0495D"/>
    <w:rsid w:val="00E05EFE"/>
    <w:rsid w:val="00E11780"/>
    <w:rsid w:val="00E5102A"/>
    <w:rsid w:val="00E51450"/>
    <w:rsid w:val="00E5328B"/>
    <w:rsid w:val="00E6084B"/>
    <w:rsid w:val="00E66CD2"/>
    <w:rsid w:val="00E75FE9"/>
    <w:rsid w:val="00E9563D"/>
    <w:rsid w:val="00EC5F2A"/>
    <w:rsid w:val="00EC7B19"/>
    <w:rsid w:val="00ED4179"/>
    <w:rsid w:val="00F00E5D"/>
    <w:rsid w:val="00F0227E"/>
    <w:rsid w:val="00F026B9"/>
    <w:rsid w:val="00F05B5C"/>
    <w:rsid w:val="00F260BD"/>
    <w:rsid w:val="00F3141C"/>
    <w:rsid w:val="00F511D9"/>
    <w:rsid w:val="00F64ED6"/>
    <w:rsid w:val="00F75B10"/>
    <w:rsid w:val="00F96B6E"/>
    <w:rsid w:val="00F97E49"/>
    <w:rsid w:val="00FA01BF"/>
    <w:rsid w:val="00FA7C5E"/>
    <w:rsid w:val="00FB005F"/>
    <w:rsid w:val="00FB6F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07EFDD-A094-4D39-9B3E-59CA6DD4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AA9"/>
    <w:pPr>
      <w:suppressAutoHyphens/>
      <w:spacing w:after="120" w:line="240" w:lineRule="auto"/>
      <w:jc w:val="both"/>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167714"/>
    <w:pPr>
      <w:keepNext/>
      <w:numPr>
        <w:numId w:val="1"/>
      </w:numPr>
      <w:tabs>
        <w:tab w:val="left" w:pos="397"/>
      </w:tabs>
      <w:spacing w:before="240"/>
      <w:ind w:left="431" w:hanging="431"/>
      <w:outlineLvl w:val="0"/>
    </w:pPr>
    <w:rPr>
      <w:rFonts w:cs="Arial"/>
      <w:b/>
      <w:bCs/>
      <w:sz w:val="28"/>
      <w:szCs w:val="28"/>
    </w:rPr>
  </w:style>
  <w:style w:type="paragraph" w:styleId="Heading2">
    <w:name w:val="heading 2"/>
    <w:basedOn w:val="Normal"/>
    <w:next w:val="Normal"/>
    <w:link w:val="Heading2Char"/>
    <w:qFormat/>
    <w:rsid w:val="00167714"/>
    <w:pPr>
      <w:keepNext/>
      <w:numPr>
        <w:ilvl w:val="1"/>
        <w:numId w:val="1"/>
      </w:numPr>
      <w:tabs>
        <w:tab w:val="left" w:pos="510"/>
      </w:tabs>
      <w:spacing w:before="240" w:after="60"/>
      <w:ind w:left="578" w:hanging="578"/>
      <w:jc w:val="left"/>
      <w:outlineLvl w:val="1"/>
    </w:pPr>
    <w:rPr>
      <w:rFonts w:cs="Arial"/>
      <w:b/>
      <w:bCs/>
      <w:i/>
      <w:iCs/>
    </w:rPr>
  </w:style>
  <w:style w:type="paragraph" w:styleId="Heading3">
    <w:name w:val="heading 3"/>
    <w:basedOn w:val="Normal"/>
    <w:next w:val="Normal"/>
    <w:link w:val="Heading3Char"/>
    <w:qFormat/>
    <w:rsid w:val="005F4AA9"/>
    <w:pPr>
      <w:keepNext/>
      <w:numPr>
        <w:ilvl w:val="2"/>
        <w:numId w:val="1"/>
      </w:numPr>
      <w:spacing w:before="240"/>
      <w:jc w:val="left"/>
      <w:outlineLvl w:val="2"/>
    </w:pPr>
    <w:rPr>
      <w:rFonts w:cs="Arial"/>
      <w:bCs/>
      <w:i/>
      <w:u w:val="single"/>
    </w:rPr>
  </w:style>
  <w:style w:type="paragraph" w:styleId="Heading4">
    <w:name w:val="heading 4"/>
    <w:basedOn w:val="Normal"/>
    <w:next w:val="Normal"/>
    <w:link w:val="Heading4Char"/>
    <w:autoRedefine/>
    <w:qFormat/>
    <w:rsid w:val="005F4AA9"/>
    <w:pPr>
      <w:keepNext/>
      <w:numPr>
        <w:ilvl w:val="3"/>
        <w:numId w:val="1"/>
      </w:numPr>
      <w:spacing w:before="120"/>
      <w:jc w:val="left"/>
      <w:outlineLvl w:val="3"/>
    </w:pPr>
    <w:rPr>
      <w:bCs/>
    </w:rPr>
  </w:style>
  <w:style w:type="paragraph" w:styleId="Heading5">
    <w:name w:val="heading 5"/>
    <w:basedOn w:val="Normal"/>
    <w:next w:val="Normal"/>
    <w:link w:val="Heading5Char"/>
    <w:qFormat/>
    <w:rsid w:val="005F4AA9"/>
    <w:pPr>
      <w:keepNext/>
      <w:numPr>
        <w:ilvl w:val="4"/>
        <w:numId w:val="1"/>
      </w:numPr>
      <w:spacing w:before="40" w:after="20"/>
      <w:jc w:val="center"/>
      <w:outlineLvl w:val="4"/>
    </w:pPr>
    <w:rPr>
      <w:b/>
      <w:bCs/>
    </w:rPr>
  </w:style>
  <w:style w:type="paragraph" w:styleId="Heading6">
    <w:name w:val="heading 6"/>
    <w:basedOn w:val="Normal"/>
    <w:next w:val="Normal"/>
    <w:link w:val="Heading6Char"/>
    <w:qFormat/>
    <w:rsid w:val="005F4AA9"/>
    <w:pPr>
      <w:keepNext/>
      <w:numPr>
        <w:ilvl w:val="5"/>
        <w:numId w:val="1"/>
      </w:numPr>
      <w:outlineLvl w:val="5"/>
    </w:pPr>
    <w:rPr>
      <w:u w:val="single"/>
    </w:rPr>
  </w:style>
  <w:style w:type="paragraph" w:styleId="Heading7">
    <w:name w:val="heading 7"/>
    <w:basedOn w:val="Normal"/>
    <w:next w:val="Normal"/>
    <w:link w:val="Heading7Char"/>
    <w:qFormat/>
    <w:rsid w:val="005F4AA9"/>
    <w:pPr>
      <w:keepNext/>
      <w:numPr>
        <w:ilvl w:val="6"/>
        <w:numId w:val="1"/>
      </w:numPr>
      <w:jc w:val="left"/>
      <w:outlineLvl w:val="6"/>
    </w:pPr>
    <w:rPr>
      <w:b/>
      <w:sz w:val="36"/>
      <w:szCs w:val="36"/>
    </w:rPr>
  </w:style>
  <w:style w:type="paragraph" w:styleId="Heading8">
    <w:name w:val="heading 8"/>
    <w:basedOn w:val="Normal"/>
    <w:next w:val="Normal"/>
    <w:link w:val="Heading8Char"/>
    <w:qFormat/>
    <w:rsid w:val="005F4AA9"/>
    <w:pPr>
      <w:numPr>
        <w:ilvl w:val="7"/>
        <w:numId w:val="1"/>
      </w:numPr>
      <w:spacing w:before="240" w:after="60"/>
      <w:outlineLvl w:val="7"/>
    </w:pPr>
    <w:rPr>
      <w:i/>
      <w:iCs/>
    </w:rPr>
  </w:style>
  <w:style w:type="paragraph" w:styleId="Heading9">
    <w:name w:val="heading 9"/>
    <w:basedOn w:val="Normal"/>
    <w:next w:val="Normal"/>
    <w:link w:val="Heading9Char"/>
    <w:qFormat/>
    <w:rsid w:val="005F4AA9"/>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7714"/>
    <w:rPr>
      <w:rFonts w:ascii="Times New Roman" w:eastAsia="Times New Roman" w:hAnsi="Times New Roman" w:cs="Arial"/>
      <w:b/>
      <w:bCs/>
      <w:sz w:val="28"/>
      <w:szCs w:val="28"/>
      <w:lang w:eastAsia="lv-LV"/>
    </w:rPr>
  </w:style>
  <w:style w:type="character" w:customStyle="1" w:styleId="Heading2Char">
    <w:name w:val="Heading 2 Char"/>
    <w:basedOn w:val="DefaultParagraphFont"/>
    <w:link w:val="Heading2"/>
    <w:rsid w:val="00167714"/>
    <w:rPr>
      <w:rFonts w:ascii="Times New Roman" w:eastAsia="Times New Roman" w:hAnsi="Times New Roman" w:cs="Arial"/>
      <w:b/>
      <w:bCs/>
      <w:i/>
      <w:iCs/>
      <w:sz w:val="24"/>
      <w:szCs w:val="24"/>
      <w:lang w:eastAsia="lv-LV"/>
    </w:rPr>
  </w:style>
  <w:style w:type="character" w:customStyle="1" w:styleId="Heading3Char">
    <w:name w:val="Heading 3 Char"/>
    <w:basedOn w:val="DefaultParagraphFont"/>
    <w:link w:val="Heading3"/>
    <w:rsid w:val="005F4AA9"/>
    <w:rPr>
      <w:rFonts w:ascii="Times New Roman" w:eastAsia="Times New Roman" w:hAnsi="Times New Roman" w:cs="Arial"/>
      <w:bCs/>
      <w:i/>
      <w:sz w:val="24"/>
      <w:szCs w:val="24"/>
      <w:u w:val="single"/>
      <w:lang w:eastAsia="lv-LV"/>
    </w:rPr>
  </w:style>
  <w:style w:type="character" w:customStyle="1" w:styleId="Heading4Char">
    <w:name w:val="Heading 4 Char"/>
    <w:basedOn w:val="DefaultParagraphFont"/>
    <w:link w:val="Heading4"/>
    <w:rsid w:val="005F4AA9"/>
    <w:rPr>
      <w:rFonts w:ascii="Times New Roman" w:eastAsia="Times New Roman" w:hAnsi="Times New Roman" w:cs="Times New Roman"/>
      <w:bCs/>
      <w:sz w:val="24"/>
      <w:szCs w:val="24"/>
      <w:lang w:eastAsia="lv-LV"/>
    </w:rPr>
  </w:style>
  <w:style w:type="character" w:customStyle="1" w:styleId="Heading5Char">
    <w:name w:val="Heading 5 Char"/>
    <w:basedOn w:val="DefaultParagraphFont"/>
    <w:link w:val="Heading5"/>
    <w:rsid w:val="005F4AA9"/>
    <w:rPr>
      <w:rFonts w:ascii="Times New Roman" w:eastAsia="Times New Roman" w:hAnsi="Times New Roman" w:cs="Times New Roman"/>
      <w:b/>
      <w:bCs/>
      <w:sz w:val="24"/>
      <w:szCs w:val="24"/>
      <w:lang w:eastAsia="lv-LV"/>
    </w:rPr>
  </w:style>
  <w:style w:type="character" w:customStyle="1" w:styleId="Heading6Char">
    <w:name w:val="Heading 6 Char"/>
    <w:basedOn w:val="DefaultParagraphFont"/>
    <w:link w:val="Heading6"/>
    <w:rsid w:val="005F4AA9"/>
    <w:rPr>
      <w:rFonts w:ascii="Times New Roman" w:eastAsia="Times New Roman" w:hAnsi="Times New Roman" w:cs="Times New Roman"/>
      <w:sz w:val="24"/>
      <w:szCs w:val="24"/>
      <w:u w:val="single"/>
      <w:lang w:eastAsia="lv-LV"/>
    </w:rPr>
  </w:style>
  <w:style w:type="character" w:customStyle="1" w:styleId="Heading7Char">
    <w:name w:val="Heading 7 Char"/>
    <w:basedOn w:val="DefaultParagraphFont"/>
    <w:link w:val="Heading7"/>
    <w:rsid w:val="005F4AA9"/>
    <w:rPr>
      <w:rFonts w:ascii="Times New Roman" w:eastAsia="Times New Roman" w:hAnsi="Times New Roman" w:cs="Times New Roman"/>
      <w:b/>
      <w:sz w:val="36"/>
      <w:szCs w:val="36"/>
      <w:lang w:eastAsia="lv-LV"/>
    </w:rPr>
  </w:style>
  <w:style w:type="character" w:customStyle="1" w:styleId="Heading8Char">
    <w:name w:val="Heading 8 Char"/>
    <w:basedOn w:val="DefaultParagraphFont"/>
    <w:link w:val="Heading8"/>
    <w:rsid w:val="005F4AA9"/>
    <w:rPr>
      <w:rFonts w:ascii="Times New Roman" w:eastAsia="Times New Roman" w:hAnsi="Times New Roman" w:cs="Times New Roman"/>
      <w:i/>
      <w:iCs/>
      <w:sz w:val="24"/>
      <w:szCs w:val="24"/>
      <w:lang w:eastAsia="lv-LV"/>
    </w:rPr>
  </w:style>
  <w:style w:type="character" w:customStyle="1" w:styleId="Heading9Char">
    <w:name w:val="Heading 9 Char"/>
    <w:basedOn w:val="DefaultParagraphFont"/>
    <w:link w:val="Heading9"/>
    <w:rsid w:val="005F4AA9"/>
    <w:rPr>
      <w:rFonts w:ascii="Arial" w:eastAsia="Times New Roman" w:hAnsi="Arial" w:cs="Arial"/>
      <w:lang w:eastAsia="lv-LV"/>
    </w:rPr>
  </w:style>
  <w:style w:type="paragraph" w:styleId="ListParagraph">
    <w:name w:val="List Paragraph"/>
    <w:basedOn w:val="Normal"/>
    <w:uiPriority w:val="34"/>
    <w:qFormat/>
    <w:rsid w:val="005F4AA9"/>
    <w:pPr>
      <w:ind w:left="720"/>
      <w:contextualSpacing/>
    </w:pPr>
  </w:style>
  <w:style w:type="table" w:styleId="TableGrid">
    <w:name w:val="Table Grid"/>
    <w:basedOn w:val="TableNormal"/>
    <w:uiPriority w:val="59"/>
    <w:rsid w:val="005F4AA9"/>
    <w:pPr>
      <w:spacing w:after="12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F4AA9"/>
    <w:pPr>
      <w:tabs>
        <w:tab w:val="center" w:pos="4153"/>
        <w:tab w:val="right" w:pos="8306"/>
      </w:tabs>
    </w:pPr>
  </w:style>
  <w:style w:type="character" w:customStyle="1" w:styleId="HeaderChar">
    <w:name w:val="Header Char"/>
    <w:basedOn w:val="DefaultParagraphFont"/>
    <w:link w:val="Header"/>
    <w:rsid w:val="005F4AA9"/>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9C2C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C8E"/>
    <w:rPr>
      <w:rFonts w:ascii="Tahoma" w:eastAsia="Times New Roman" w:hAnsi="Tahoma" w:cs="Tahoma"/>
      <w:sz w:val="16"/>
      <w:szCs w:val="16"/>
      <w:lang w:eastAsia="lv-LV"/>
    </w:rPr>
  </w:style>
  <w:style w:type="character" w:styleId="Hyperlink">
    <w:name w:val="Hyperlink"/>
    <w:basedOn w:val="DefaultParagraphFont"/>
    <w:uiPriority w:val="99"/>
    <w:unhideWhenUsed/>
    <w:rsid w:val="0053002D"/>
    <w:rPr>
      <w:color w:val="0000FF"/>
      <w:u w:val="single"/>
    </w:rPr>
  </w:style>
  <w:style w:type="paragraph" w:styleId="Footer">
    <w:name w:val="footer"/>
    <w:basedOn w:val="Normal"/>
    <w:link w:val="FooterChar"/>
    <w:uiPriority w:val="99"/>
    <w:unhideWhenUsed/>
    <w:rsid w:val="009954C6"/>
    <w:pPr>
      <w:tabs>
        <w:tab w:val="center" w:pos="4153"/>
        <w:tab w:val="right" w:pos="8306"/>
      </w:tabs>
      <w:spacing w:after="0"/>
    </w:pPr>
  </w:style>
  <w:style w:type="character" w:customStyle="1" w:styleId="FooterChar">
    <w:name w:val="Footer Char"/>
    <w:basedOn w:val="DefaultParagraphFont"/>
    <w:link w:val="Footer"/>
    <w:uiPriority w:val="99"/>
    <w:rsid w:val="009954C6"/>
    <w:rPr>
      <w:rFonts w:ascii="Times New Roman" w:eastAsia="Times New Roman" w:hAnsi="Times New Roman" w:cs="Times New Roman"/>
      <w:sz w:val="24"/>
      <w:szCs w:val="24"/>
      <w:lang w:eastAsia="lv-LV"/>
    </w:rPr>
  </w:style>
  <w:style w:type="character" w:customStyle="1" w:styleId="st">
    <w:name w:val="st"/>
    <w:basedOn w:val="DefaultParagraphFont"/>
    <w:rsid w:val="00F05B5C"/>
  </w:style>
  <w:style w:type="paragraph" w:styleId="Caption">
    <w:name w:val="caption"/>
    <w:basedOn w:val="Normal"/>
    <w:next w:val="Normal"/>
    <w:uiPriority w:val="35"/>
    <w:unhideWhenUsed/>
    <w:qFormat/>
    <w:rsid w:val="00CA259A"/>
    <w:pPr>
      <w:suppressAutoHyphens w:val="0"/>
      <w:spacing w:before="240" w:after="60"/>
    </w:pPr>
    <w:rPr>
      <w:rFonts w:ascii="Times New Roman Bold" w:hAnsi="Times New Roman Bold"/>
      <w:b/>
      <w:bCs/>
      <w:sz w:val="22"/>
      <w:szCs w:val="18"/>
      <w:lang w:eastAsia="en-US"/>
    </w:rPr>
  </w:style>
  <w:style w:type="paragraph" w:styleId="TOCHeading">
    <w:name w:val="TOC Heading"/>
    <w:basedOn w:val="Heading1"/>
    <w:next w:val="Normal"/>
    <w:uiPriority w:val="39"/>
    <w:semiHidden/>
    <w:unhideWhenUsed/>
    <w:qFormat/>
    <w:rsid w:val="00270E42"/>
    <w:pPr>
      <w:keepLines/>
      <w:numPr>
        <w:numId w:val="0"/>
      </w:numPr>
      <w:tabs>
        <w:tab w:val="clear" w:pos="397"/>
      </w:tabs>
      <w:suppressAutoHyphens w:val="0"/>
      <w:spacing w:before="480" w:after="0" w:line="276" w:lineRule="auto"/>
      <w:jc w:val="left"/>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270E42"/>
    <w:pPr>
      <w:spacing w:after="100"/>
    </w:pPr>
  </w:style>
  <w:style w:type="paragraph" w:styleId="TOC2">
    <w:name w:val="toc 2"/>
    <w:basedOn w:val="Normal"/>
    <w:next w:val="Normal"/>
    <w:autoRedefine/>
    <w:uiPriority w:val="39"/>
    <w:unhideWhenUsed/>
    <w:rsid w:val="00270E42"/>
    <w:pPr>
      <w:spacing w:after="100"/>
      <w:ind w:left="240"/>
    </w:pPr>
  </w:style>
  <w:style w:type="paragraph" w:styleId="TOC3">
    <w:name w:val="toc 3"/>
    <w:basedOn w:val="Normal"/>
    <w:next w:val="Normal"/>
    <w:autoRedefine/>
    <w:uiPriority w:val="39"/>
    <w:unhideWhenUsed/>
    <w:rsid w:val="001F7B50"/>
    <w:pPr>
      <w:spacing w:after="100"/>
      <w:ind w:left="480"/>
    </w:pPr>
  </w:style>
  <w:style w:type="paragraph" w:styleId="NormalWeb">
    <w:name w:val="Normal (Web)"/>
    <w:basedOn w:val="Normal"/>
    <w:uiPriority w:val="99"/>
    <w:semiHidden/>
    <w:unhideWhenUsed/>
    <w:rsid w:val="005F374F"/>
    <w:pPr>
      <w:suppressAutoHyphens w:val="0"/>
      <w:spacing w:before="100" w:beforeAutospacing="1" w:after="100" w:afterAutospacing="1"/>
      <w:jc w:val="left"/>
    </w:pPr>
  </w:style>
  <w:style w:type="character" w:customStyle="1" w:styleId="mwe-math-mathml-inline">
    <w:name w:val="mwe-math-mathml-inline"/>
    <w:basedOn w:val="DefaultParagraphFont"/>
    <w:rsid w:val="005F374F"/>
  </w:style>
  <w:style w:type="paragraph" w:styleId="TableofFigures">
    <w:name w:val="table of figures"/>
    <w:basedOn w:val="Normal"/>
    <w:next w:val="Normal"/>
    <w:uiPriority w:val="99"/>
    <w:unhideWhenUsed/>
    <w:rsid w:val="005608F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971">
      <w:bodyDiv w:val="1"/>
      <w:marLeft w:val="0"/>
      <w:marRight w:val="0"/>
      <w:marTop w:val="0"/>
      <w:marBottom w:val="0"/>
      <w:divBdr>
        <w:top w:val="none" w:sz="0" w:space="0" w:color="auto"/>
        <w:left w:val="none" w:sz="0" w:space="0" w:color="auto"/>
        <w:bottom w:val="none" w:sz="0" w:space="0" w:color="auto"/>
        <w:right w:val="none" w:sz="0" w:space="0" w:color="auto"/>
      </w:divBdr>
    </w:div>
    <w:div w:id="129859283">
      <w:bodyDiv w:val="1"/>
      <w:marLeft w:val="0"/>
      <w:marRight w:val="0"/>
      <w:marTop w:val="0"/>
      <w:marBottom w:val="0"/>
      <w:divBdr>
        <w:top w:val="none" w:sz="0" w:space="0" w:color="auto"/>
        <w:left w:val="none" w:sz="0" w:space="0" w:color="auto"/>
        <w:bottom w:val="none" w:sz="0" w:space="0" w:color="auto"/>
        <w:right w:val="none" w:sz="0" w:space="0" w:color="auto"/>
      </w:divBdr>
    </w:div>
    <w:div w:id="219555585">
      <w:bodyDiv w:val="1"/>
      <w:marLeft w:val="0"/>
      <w:marRight w:val="0"/>
      <w:marTop w:val="0"/>
      <w:marBottom w:val="0"/>
      <w:divBdr>
        <w:top w:val="none" w:sz="0" w:space="0" w:color="auto"/>
        <w:left w:val="none" w:sz="0" w:space="0" w:color="auto"/>
        <w:bottom w:val="none" w:sz="0" w:space="0" w:color="auto"/>
        <w:right w:val="none" w:sz="0" w:space="0" w:color="auto"/>
      </w:divBdr>
    </w:div>
    <w:div w:id="356586301">
      <w:bodyDiv w:val="1"/>
      <w:marLeft w:val="0"/>
      <w:marRight w:val="0"/>
      <w:marTop w:val="0"/>
      <w:marBottom w:val="0"/>
      <w:divBdr>
        <w:top w:val="none" w:sz="0" w:space="0" w:color="auto"/>
        <w:left w:val="none" w:sz="0" w:space="0" w:color="auto"/>
        <w:bottom w:val="none" w:sz="0" w:space="0" w:color="auto"/>
        <w:right w:val="none" w:sz="0" w:space="0" w:color="auto"/>
      </w:divBdr>
    </w:div>
    <w:div w:id="504370697">
      <w:bodyDiv w:val="1"/>
      <w:marLeft w:val="0"/>
      <w:marRight w:val="0"/>
      <w:marTop w:val="0"/>
      <w:marBottom w:val="0"/>
      <w:divBdr>
        <w:top w:val="none" w:sz="0" w:space="0" w:color="auto"/>
        <w:left w:val="none" w:sz="0" w:space="0" w:color="auto"/>
        <w:bottom w:val="none" w:sz="0" w:space="0" w:color="auto"/>
        <w:right w:val="none" w:sz="0" w:space="0" w:color="auto"/>
      </w:divBdr>
    </w:div>
    <w:div w:id="520513379">
      <w:bodyDiv w:val="1"/>
      <w:marLeft w:val="0"/>
      <w:marRight w:val="0"/>
      <w:marTop w:val="0"/>
      <w:marBottom w:val="0"/>
      <w:divBdr>
        <w:top w:val="none" w:sz="0" w:space="0" w:color="auto"/>
        <w:left w:val="none" w:sz="0" w:space="0" w:color="auto"/>
        <w:bottom w:val="none" w:sz="0" w:space="0" w:color="auto"/>
        <w:right w:val="none" w:sz="0" w:space="0" w:color="auto"/>
      </w:divBdr>
    </w:div>
    <w:div w:id="559051757">
      <w:bodyDiv w:val="1"/>
      <w:marLeft w:val="0"/>
      <w:marRight w:val="0"/>
      <w:marTop w:val="0"/>
      <w:marBottom w:val="0"/>
      <w:divBdr>
        <w:top w:val="none" w:sz="0" w:space="0" w:color="auto"/>
        <w:left w:val="none" w:sz="0" w:space="0" w:color="auto"/>
        <w:bottom w:val="none" w:sz="0" w:space="0" w:color="auto"/>
        <w:right w:val="none" w:sz="0" w:space="0" w:color="auto"/>
      </w:divBdr>
    </w:div>
    <w:div w:id="633489192">
      <w:bodyDiv w:val="1"/>
      <w:marLeft w:val="0"/>
      <w:marRight w:val="0"/>
      <w:marTop w:val="0"/>
      <w:marBottom w:val="0"/>
      <w:divBdr>
        <w:top w:val="none" w:sz="0" w:space="0" w:color="auto"/>
        <w:left w:val="none" w:sz="0" w:space="0" w:color="auto"/>
        <w:bottom w:val="none" w:sz="0" w:space="0" w:color="auto"/>
        <w:right w:val="none" w:sz="0" w:space="0" w:color="auto"/>
      </w:divBdr>
    </w:div>
    <w:div w:id="737437697">
      <w:bodyDiv w:val="1"/>
      <w:marLeft w:val="0"/>
      <w:marRight w:val="0"/>
      <w:marTop w:val="0"/>
      <w:marBottom w:val="0"/>
      <w:divBdr>
        <w:top w:val="none" w:sz="0" w:space="0" w:color="auto"/>
        <w:left w:val="none" w:sz="0" w:space="0" w:color="auto"/>
        <w:bottom w:val="none" w:sz="0" w:space="0" w:color="auto"/>
        <w:right w:val="none" w:sz="0" w:space="0" w:color="auto"/>
      </w:divBdr>
    </w:div>
    <w:div w:id="746078766">
      <w:bodyDiv w:val="1"/>
      <w:marLeft w:val="0"/>
      <w:marRight w:val="0"/>
      <w:marTop w:val="0"/>
      <w:marBottom w:val="0"/>
      <w:divBdr>
        <w:top w:val="none" w:sz="0" w:space="0" w:color="auto"/>
        <w:left w:val="none" w:sz="0" w:space="0" w:color="auto"/>
        <w:bottom w:val="none" w:sz="0" w:space="0" w:color="auto"/>
        <w:right w:val="none" w:sz="0" w:space="0" w:color="auto"/>
      </w:divBdr>
    </w:div>
    <w:div w:id="861743364">
      <w:bodyDiv w:val="1"/>
      <w:marLeft w:val="0"/>
      <w:marRight w:val="0"/>
      <w:marTop w:val="0"/>
      <w:marBottom w:val="0"/>
      <w:divBdr>
        <w:top w:val="none" w:sz="0" w:space="0" w:color="auto"/>
        <w:left w:val="none" w:sz="0" w:space="0" w:color="auto"/>
        <w:bottom w:val="none" w:sz="0" w:space="0" w:color="auto"/>
        <w:right w:val="none" w:sz="0" w:space="0" w:color="auto"/>
      </w:divBdr>
    </w:div>
    <w:div w:id="960764286">
      <w:bodyDiv w:val="1"/>
      <w:marLeft w:val="0"/>
      <w:marRight w:val="0"/>
      <w:marTop w:val="0"/>
      <w:marBottom w:val="0"/>
      <w:divBdr>
        <w:top w:val="none" w:sz="0" w:space="0" w:color="auto"/>
        <w:left w:val="none" w:sz="0" w:space="0" w:color="auto"/>
        <w:bottom w:val="none" w:sz="0" w:space="0" w:color="auto"/>
        <w:right w:val="none" w:sz="0" w:space="0" w:color="auto"/>
      </w:divBdr>
    </w:div>
    <w:div w:id="992375373">
      <w:bodyDiv w:val="1"/>
      <w:marLeft w:val="0"/>
      <w:marRight w:val="0"/>
      <w:marTop w:val="0"/>
      <w:marBottom w:val="0"/>
      <w:divBdr>
        <w:top w:val="none" w:sz="0" w:space="0" w:color="auto"/>
        <w:left w:val="none" w:sz="0" w:space="0" w:color="auto"/>
        <w:bottom w:val="none" w:sz="0" w:space="0" w:color="auto"/>
        <w:right w:val="none" w:sz="0" w:space="0" w:color="auto"/>
      </w:divBdr>
    </w:div>
    <w:div w:id="1429888336">
      <w:bodyDiv w:val="1"/>
      <w:marLeft w:val="0"/>
      <w:marRight w:val="0"/>
      <w:marTop w:val="0"/>
      <w:marBottom w:val="0"/>
      <w:divBdr>
        <w:top w:val="none" w:sz="0" w:space="0" w:color="auto"/>
        <w:left w:val="none" w:sz="0" w:space="0" w:color="auto"/>
        <w:bottom w:val="none" w:sz="0" w:space="0" w:color="auto"/>
        <w:right w:val="none" w:sz="0" w:space="0" w:color="auto"/>
      </w:divBdr>
    </w:div>
    <w:div w:id="1462384254">
      <w:bodyDiv w:val="1"/>
      <w:marLeft w:val="0"/>
      <w:marRight w:val="0"/>
      <w:marTop w:val="0"/>
      <w:marBottom w:val="0"/>
      <w:divBdr>
        <w:top w:val="none" w:sz="0" w:space="0" w:color="auto"/>
        <w:left w:val="none" w:sz="0" w:space="0" w:color="auto"/>
        <w:bottom w:val="none" w:sz="0" w:space="0" w:color="auto"/>
        <w:right w:val="none" w:sz="0" w:space="0" w:color="auto"/>
      </w:divBdr>
    </w:div>
    <w:div w:id="1556358490">
      <w:bodyDiv w:val="1"/>
      <w:marLeft w:val="0"/>
      <w:marRight w:val="0"/>
      <w:marTop w:val="0"/>
      <w:marBottom w:val="0"/>
      <w:divBdr>
        <w:top w:val="none" w:sz="0" w:space="0" w:color="auto"/>
        <w:left w:val="none" w:sz="0" w:space="0" w:color="auto"/>
        <w:bottom w:val="none" w:sz="0" w:space="0" w:color="auto"/>
        <w:right w:val="none" w:sz="0" w:space="0" w:color="auto"/>
      </w:divBdr>
    </w:div>
    <w:div w:id="1705792601">
      <w:bodyDiv w:val="1"/>
      <w:marLeft w:val="0"/>
      <w:marRight w:val="0"/>
      <w:marTop w:val="0"/>
      <w:marBottom w:val="0"/>
      <w:divBdr>
        <w:top w:val="none" w:sz="0" w:space="0" w:color="auto"/>
        <w:left w:val="none" w:sz="0" w:space="0" w:color="auto"/>
        <w:bottom w:val="none" w:sz="0" w:space="0" w:color="auto"/>
        <w:right w:val="none" w:sz="0" w:space="0" w:color="auto"/>
      </w:divBdr>
    </w:div>
    <w:div w:id="1712458013">
      <w:bodyDiv w:val="1"/>
      <w:marLeft w:val="0"/>
      <w:marRight w:val="0"/>
      <w:marTop w:val="0"/>
      <w:marBottom w:val="0"/>
      <w:divBdr>
        <w:top w:val="none" w:sz="0" w:space="0" w:color="auto"/>
        <w:left w:val="none" w:sz="0" w:space="0" w:color="auto"/>
        <w:bottom w:val="none" w:sz="0" w:space="0" w:color="auto"/>
        <w:right w:val="none" w:sz="0" w:space="0" w:color="auto"/>
      </w:divBdr>
    </w:div>
    <w:div w:id="1715881343">
      <w:bodyDiv w:val="1"/>
      <w:marLeft w:val="0"/>
      <w:marRight w:val="0"/>
      <w:marTop w:val="0"/>
      <w:marBottom w:val="0"/>
      <w:divBdr>
        <w:top w:val="none" w:sz="0" w:space="0" w:color="auto"/>
        <w:left w:val="none" w:sz="0" w:space="0" w:color="auto"/>
        <w:bottom w:val="none" w:sz="0" w:space="0" w:color="auto"/>
        <w:right w:val="none" w:sz="0" w:space="0" w:color="auto"/>
      </w:divBdr>
    </w:div>
    <w:div w:id="1728455877">
      <w:bodyDiv w:val="1"/>
      <w:marLeft w:val="0"/>
      <w:marRight w:val="0"/>
      <w:marTop w:val="0"/>
      <w:marBottom w:val="0"/>
      <w:divBdr>
        <w:top w:val="none" w:sz="0" w:space="0" w:color="auto"/>
        <w:left w:val="none" w:sz="0" w:space="0" w:color="auto"/>
        <w:bottom w:val="none" w:sz="0" w:space="0" w:color="auto"/>
        <w:right w:val="none" w:sz="0" w:space="0" w:color="auto"/>
      </w:divBdr>
    </w:div>
    <w:div w:id="1776361691">
      <w:bodyDiv w:val="1"/>
      <w:marLeft w:val="0"/>
      <w:marRight w:val="0"/>
      <w:marTop w:val="0"/>
      <w:marBottom w:val="0"/>
      <w:divBdr>
        <w:top w:val="none" w:sz="0" w:space="0" w:color="auto"/>
        <w:left w:val="none" w:sz="0" w:space="0" w:color="auto"/>
        <w:bottom w:val="none" w:sz="0" w:space="0" w:color="auto"/>
        <w:right w:val="none" w:sz="0" w:space="0" w:color="auto"/>
      </w:divBdr>
    </w:div>
    <w:div w:id="1853645139">
      <w:bodyDiv w:val="1"/>
      <w:marLeft w:val="0"/>
      <w:marRight w:val="0"/>
      <w:marTop w:val="0"/>
      <w:marBottom w:val="0"/>
      <w:divBdr>
        <w:top w:val="none" w:sz="0" w:space="0" w:color="auto"/>
        <w:left w:val="none" w:sz="0" w:space="0" w:color="auto"/>
        <w:bottom w:val="none" w:sz="0" w:space="0" w:color="auto"/>
        <w:right w:val="none" w:sz="0" w:space="0" w:color="auto"/>
      </w:divBdr>
    </w:div>
    <w:div w:id="1880241032">
      <w:bodyDiv w:val="1"/>
      <w:marLeft w:val="0"/>
      <w:marRight w:val="0"/>
      <w:marTop w:val="0"/>
      <w:marBottom w:val="0"/>
      <w:divBdr>
        <w:top w:val="none" w:sz="0" w:space="0" w:color="auto"/>
        <w:left w:val="none" w:sz="0" w:space="0" w:color="auto"/>
        <w:bottom w:val="none" w:sz="0" w:space="0" w:color="auto"/>
        <w:right w:val="none" w:sz="0" w:space="0" w:color="auto"/>
      </w:divBdr>
    </w:div>
    <w:div w:id="1936791934">
      <w:bodyDiv w:val="1"/>
      <w:marLeft w:val="0"/>
      <w:marRight w:val="0"/>
      <w:marTop w:val="0"/>
      <w:marBottom w:val="0"/>
      <w:divBdr>
        <w:top w:val="none" w:sz="0" w:space="0" w:color="auto"/>
        <w:left w:val="none" w:sz="0" w:space="0" w:color="auto"/>
        <w:bottom w:val="none" w:sz="0" w:space="0" w:color="auto"/>
        <w:right w:val="none" w:sz="0" w:space="0" w:color="auto"/>
      </w:divBdr>
    </w:div>
    <w:div w:id="1954557086">
      <w:bodyDiv w:val="1"/>
      <w:marLeft w:val="0"/>
      <w:marRight w:val="0"/>
      <w:marTop w:val="0"/>
      <w:marBottom w:val="0"/>
      <w:divBdr>
        <w:top w:val="none" w:sz="0" w:space="0" w:color="auto"/>
        <w:left w:val="none" w:sz="0" w:space="0" w:color="auto"/>
        <w:bottom w:val="none" w:sz="0" w:space="0" w:color="auto"/>
        <w:right w:val="none" w:sz="0" w:space="0" w:color="auto"/>
      </w:divBdr>
    </w:div>
    <w:div w:id="2036618772">
      <w:bodyDiv w:val="1"/>
      <w:marLeft w:val="0"/>
      <w:marRight w:val="0"/>
      <w:marTop w:val="0"/>
      <w:marBottom w:val="0"/>
      <w:divBdr>
        <w:top w:val="none" w:sz="0" w:space="0" w:color="auto"/>
        <w:left w:val="none" w:sz="0" w:space="0" w:color="auto"/>
        <w:bottom w:val="none" w:sz="0" w:space="0" w:color="auto"/>
        <w:right w:val="none" w:sz="0" w:space="0" w:color="auto"/>
      </w:divBdr>
    </w:div>
    <w:div w:id="2055159414">
      <w:bodyDiv w:val="1"/>
      <w:marLeft w:val="0"/>
      <w:marRight w:val="0"/>
      <w:marTop w:val="0"/>
      <w:marBottom w:val="0"/>
      <w:divBdr>
        <w:top w:val="none" w:sz="0" w:space="0" w:color="auto"/>
        <w:left w:val="none" w:sz="0" w:space="0" w:color="auto"/>
        <w:bottom w:val="none" w:sz="0" w:space="0" w:color="auto"/>
        <w:right w:val="none" w:sz="0" w:space="0" w:color="auto"/>
      </w:divBdr>
    </w:div>
    <w:div w:id="2080008885">
      <w:bodyDiv w:val="1"/>
      <w:marLeft w:val="0"/>
      <w:marRight w:val="0"/>
      <w:marTop w:val="0"/>
      <w:marBottom w:val="0"/>
      <w:divBdr>
        <w:top w:val="none" w:sz="0" w:space="0" w:color="auto"/>
        <w:left w:val="none" w:sz="0" w:space="0" w:color="auto"/>
        <w:bottom w:val="none" w:sz="0" w:space="0" w:color="auto"/>
        <w:right w:val="none" w:sz="0" w:space="0" w:color="auto"/>
      </w:divBdr>
    </w:div>
    <w:div w:id="2085108014">
      <w:bodyDiv w:val="1"/>
      <w:marLeft w:val="0"/>
      <w:marRight w:val="0"/>
      <w:marTop w:val="0"/>
      <w:marBottom w:val="0"/>
      <w:divBdr>
        <w:top w:val="none" w:sz="0" w:space="0" w:color="auto"/>
        <w:left w:val="none" w:sz="0" w:space="0" w:color="auto"/>
        <w:bottom w:val="none" w:sz="0" w:space="0" w:color="auto"/>
        <w:right w:val="none" w:sz="0" w:space="0" w:color="auto"/>
      </w:divBdr>
    </w:div>
    <w:div w:id="208896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issrv.lvgmc.lv/"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header" Target="head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hexacore.lakalme.parks.lv\Engineering\Janis\Work\VARAM\2018\Atskaites\1L_34_2018_VARAM%2049%20aglomeracijas,%20U2%20analize_V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exacore.lakalme.parks.lv\Engineering\Janis\Work\VARAM\2018\Atskaites\1L_34_2018_VARAM%2049%20aglomeracijas,%20U2%20analize_V0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exacore.lakalme.parks.lv\Engineering\Janis\Work\VARAM\2018\Atskaites\1L_34_2018_VARAM%2049%20aglomeracijas,%20U2%20analize_V0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exacore.lakalme.parks.lv\Engineering\Janis\Work\VARAM\2018\Atskaites\1L_34_2018_VARAM%2049%20aglomeracijas,%20U2%20analize_V0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hexacore.lakalme.parks.lv\Engineering\Janis\Work\VARAM\2018\Atskaites\1L_34_2018_VARAM%2049%20aglomeracijas,%20U2%20analize_V0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hexacore.lakalme.parks.lv\Engineering\Janis\Work\VARAM\2018\Atskaites\1L_34_2018_VARAM%2049%20aglomeracijas,%20U2%20analize_V0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hexacore.lakalme.parks.lv\Engineering\Janis\Work\VARAM\2018\Atskaites\1L_34_2018_VARAM%2049%20aglomeracijas,%20U2%20analize_V0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hexacore.lakalme.parks.lv\Engineering\Janis\Work\VARAM\2018\Atskaites\1L_34_2018_VARAM%2049%20aglomeracijas,%20U2%20analize_V0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hexacore.lakalme.parks.lv\Engineering\Janis\Work\VARAM\2018\Atskaites\1L_34_2018_VARAM%2049%20aglomeracijas,%20U2%20analize_V01.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hexacore.lakalme.parks.lv\Engineering\Janis\Work\VARAM\2018\Atskaites\1L_34_2018_VARAM%2049%20aglomeracijas,%20U2%20analize_V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exacore.lakalme.parks.lv\Engineering\Janis\Work\VARAM\2018\Atskaites\1L_34_2018_VARAM%2049%20aglomeracijas,%20U2%20analize_V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exacore.lakalme.parks.lv\Engineering\Janis\Work\VARAM\2018\Atskaites\1L_34_2018_VARAM%2049%20aglomeracijas,%20U2%20analize_V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exacore.lakalme.parks.lv\Engineering\Janis\Work\VARAM\2018\Atskaites\1L_34_2018_VARAM%2049%20aglomeracijas,%20U2%20analize_V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exacore.lakalme.parks.lv\Engineering\Janis\Work\VARAM\2018\Atskaites\1L_34_2018_VARAM%2049%20aglomeracijas,%20U2%20analize_V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exacore.lakalme.parks.lv\Engineering\Janis\Work\VARAM\2018\Atskaites\1L_34_2018_VARAM%2049%20aglomeracijas,%20U2%20analize_V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exacore.lakalme.parks.lv\Engineering\Janis\Work\VARAM\2018\Atskaites\1L_34_2018_VARAM%2049%20aglomeracijas,%20U2%20analize_V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exacore.lakalme.parks.lv\Engineering\Janis\Work\VARAM\2018\Atskaites\1L_34_2018_VARAM%2049%20aglomeracijas,%20U2%20analize_V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exacore.lakalme.parks.lv\Engineering\Janis\Work\VARAM\2018\Atskaites\1L_34_2018_VARAM%2049%20aglomeracijas,%20U2%20analize_V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239650010715515E-2"/>
          <c:y val="5.8745714690782352E-2"/>
          <c:w val="0.59952263779527559"/>
          <c:h val="0.76185520241985349"/>
        </c:manualLayout>
      </c:layout>
      <c:barChart>
        <c:barDir val="col"/>
        <c:grouping val="clustered"/>
        <c:varyColors val="0"/>
        <c:ser>
          <c:idx val="0"/>
          <c:order val="0"/>
          <c:tx>
            <c:v>Projektētā slodze, m3/d</c:v>
          </c:tx>
          <c:invertIfNegative val="0"/>
          <c:cat>
            <c:strRef>
              <c:f>'Dati grafikiem-1'!$C$6:$C$21</c:f>
              <c:strCache>
                <c:ptCount val="16"/>
                <c:pt idx="0">
                  <c:v>Aizpute</c:v>
                </c:pt>
                <c:pt idx="1">
                  <c:v>Alūksne*</c:v>
                </c:pt>
                <c:pt idx="2">
                  <c:v>Auce</c:v>
                </c:pt>
                <c:pt idx="3">
                  <c:v>Babīte</c:v>
                </c:pt>
                <c:pt idx="4">
                  <c:v>Baldone</c:v>
                </c:pt>
                <c:pt idx="5">
                  <c:v>Baloži</c:v>
                </c:pt>
                <c:pt idx="6">
                  <c:v>Balvi</c:v>
                </c:pt>
                <c:pt idx="7">
                  <c:v>Brocēni*</c:v>
                </c:pt>
                <c:pt idx="8">
                  <c:v>Carnikava</c:v>
                </c:pt>
                <c:pt idx="9">
                  <c:v>Dagda</c:v>
                </c:pt>
                <c:pt idx="10">
                  <c:v>Dundaga*</c:v>
                </c:pt>
                <c:pt idx="11">
                  <c:v>Ērgļi*</c:v>
                </c:pt>
                <c:pt idx="12">
                  <c:v>Grobiņa</c:v>
                </c:pt>
                <c:pt idx="13">
                  <c:v>Iecava*</c:v>
                </c:pt>
                <c:pt idx="14">
                  <c:v>Ikšķile</c:v>
                </c:pt>
                <c:pt idx="15">
                  <c:v>Ilūkste</c:v>
                </c:pt>
              </c:strCache>
            </c:strRef>
          </c:cat>
          <c:val>
            <c:numRef>
              <c:f>'Dati grafikiem-1'!$D$6:$D$21</c:f>
              <c:numCache>
                <c:formatCode>General</c:formatCode>
                <c:ptCount val="16"/>
                <c:pt idx="0">
                  <c:v>1757</c:v>
                </c:pt>
                <c:pt idx="1">
                  <c:v>1500</c:v>
                </c:pt>
                <c:pt idx="2">
                  <c:v>482</c:v>
                </c:pt>
                <c:pt idx="3">
                  <c:v>1300</c:v>
                </c:pt>
                <c:pt idx="4">
                  <c:v>600</c:v>
                </c:pt>
                <c:pt idx="5">
                  <c:v>1500</c:v>
                </c:pt>
                <c:pt idx="6">
                  <c:v>1700</c:v>
                </c:pt>
                <c:pt idx="7">
                  <c:v>955</c:v>
                </c:pt>
                <c:pt idx="8">
                  <c:v>1600</c:v>
                </c:pt>
                <c:pt idx="9">
                  <c:v>900</c:v>
                </c:pt>
                <c:pt idx="10">
                  <c:v>400</c:v>
                </c:pt>
                <c:pt idx="11">
                  <c:v>400</c:v>
                </c:pt>
                <c:pt idx="12">
                  <c:v>1500</c:v>
                </c:pt>
                <c:pt idx="13">
                  <c:v>1800</c:v>
                </c:pt>
                <c:pt idx="14">
                  <c:v>826</c:v>
                </c:pt>
                <c:pt idx="15">
                  <c:v>800</c:v>
                </c:pt>
              </c:numCache>
            </c:numRef>
          </c:val>
        </c:ser>
        <c:ser>
          <c:idx val="2"/>
          <c:order val="1"/>
          <c:tx>
            <c:v>2016. g. slodze, m3/d</c:v>
          </c:tx>
          <c:spPr>
            <a:solidFill>
              <a:srgbClr val="92D050"/>
            </a:solidFill>
          </c:spPr>
          <c:invertIfNegative val="0"/>
          <c:cat>
            <c:strRef>
              <c:f>'Dati grafikiem-1'!$C$6:$C$21</c:f>
              <c:strCache>
                <c:ptCount val="16"/>
                <c:pt idx="0">
                  <c:v>Aizpute</c:v>
                </c:pt>
                <c:pt idx="1">
                  <c:v>Alūksne*</c:v>
                </c:pt>
                <c:pt idx="2">
                  <c:v>Auce</c:v>
                </c:pt>
                <c:pt idx="3">
                  <c:v>Babīte</c:v>
                </c:pt>
                <c:pt idx="4">
                  <c:v>Baldone</c:v>
                </c:pt>
                <c:pt idx="5">
                  <c:v>Baloži</c:v>
                </c:pt>
                <c:pt idx="6">
                  <c:v>Balvi</c:v>
                </c:pt>
                <c:pt idx="7">
                  <c:v>Brocēni*</c:v>
                </c:pt>
                <c:pt idx="8">
                  <c:v>Carnikava</c:v>
                </c:pt>
                <c:pt idx="9">
                  <c:v>Dagda</c:v>
                </c:pt>
                <c:pt idx="10">
                  <c:v>Dundaga*</c:v>
                </c:pt>
                <c:pt idx="11">
                  <c:v>Ērgļi*</c:v>
                </c:pt>
                <c:pt idx="12">
                  <c:v>Grobiņa</c:v>
                </c:pt>
                <c:pt idx="13">
                  <c:v>Iecava*</c:v>
                </c:pt>
                <c:pt idx="14">
                  <c:v>Ikšķile</c:v>
                </c:pt>
                <c:pt idx="15">
                  <c:v>Ilūkste</c:v>
                </c:pt>
              </c:strCache>
            </c:strRef>
          </c:cat>
          <c:val>
            <c:numRef>
              <c:f>'Dati grafikiem-1'!$F$6:$F$21</c:f>
              <c:numCache>
                <c:formatCode>General</c:formatCode>
                <c:ptCount val="16"/>
                <c:pt idx="0">
                  <c:v>438</c:v>
                </c:pt>
                <c:pt idx="1">
                  <c:v>859</c:v>
                </c:pt>
                <c:pt idx="2">
                  <c:v>118</c:v>
                </c:pt>
                <c:pt idx="3">
                  <c:v>835</c:v>
                </c:pt>
                <c:pt idx="4">
                  <c:v>212</c:v>
                </c:pt>
                <c:pt idx="5">
                  <c:v>767</c:v>
                </c:pt>
                <c:pt idx="6">
                  <c:v>1266</c:v>
                </c:pt>
                <c:pt idx="7">
                  <c:v>312</c:v>
                </c:pt>
                <c:pt idx="8">
                  <c:v>451</c:v>
                </c:pt>
                <c:pt idx="9">
                  <c:v>300</c:v>
                </c:pt>
                <c:pt idx="10">
                  <c:v>180</c:v>
                </c:pt>
                <c:pt idx="11">
                  <c:v>234</c:v>
                </c:pt>
                <c:pt idx="12">
                  <c:v>600</c:v>
                </c:pt>
                <c:pt idx="13">
                  <c:v>492</c:v>
                </c:pt>
                <c:pt idx="14">
                  <c:v>330</c:v>
                </c:pt>
                <c:pt idx="15">
                  <c:v>342</c:v>
                </c:pt>
              </c:numCache>
            </c:numRef>
          </c:val>
        </c:ser>
        <c:ser>
          <c:idx val="3"/>
          <c:order val="2"/>
          <c:tx>
            <c:v>2017. g. slodze, m3/d</c:v>
          </c:tx>
          <c:spPr>
            <a:solidFill>
              <a:srgbClr val="92D050"/>
            </a:solidFill>
          </c:spPr>
          <c:invertIfNegative val="0"/>
          <c:cat>
            <c:strRef>
              <c:f>'Dati grafikiem-1'!$C$6:$C$21</c:f>
              <c:strCache>
                <c:ptCount val="16"/>
                <c:pt idx="0">
                  <c:v>Aizpute</c:v>
                </c:pt>
                <c:pt idx="1">
                  <c:v>Alūksne*</c:v>
                </c:pt>
                <c:pt idx="2">
                  <c:v>Auce</c:v>
                </c:pt>
                <c:pt idx="3">
                  <c:v>Babīte</c:v>
                </c:pt>
                <c:pt idx="4">
                  <c:v>Baldone</c:v>
                </c:pt>
                <c:pt idx="5">
                  <c:v>Baloži</c:v>
                </c:pt>
                <c:pt idx="6">
                  <c:v>Balvi</c:v>
                </c:pt>
                <c:pt idx="7">
                  <c:v>Brocēni*</c:v>
                </c:pt>
                <c:pt idx="8">
                  <c:v>Carnikava</c:v>
                </c:pt>
                <c:pt idx="9">
                  <c:v>Dagda</c:v>
                </c:pt>
                <c:pt idx="10">
                  <c:v>Dundaga*</c:v>
                </c:pt>
                <c:pt idx="11">
                  <c:v>Ērgļi*</c:v>
                </c:pt>
                <c:pt idx="12">
                  <c:v>Grobiņa</c:v>
                </c:pt>
                <c:pt idx="13">
                  <c:v>Iecava*</c:v>
                </c:pt>
                <c:pt idx="14">
                  <c:v>Ikšķile</c:v>
                </c:pt>
                <c:pt idx="15">
                  <c:v>Ilūkste</c:v>
                </c:pt>
              </c:strCache>
            </c:strRef>
          </c:cat>
          <c:val>
            <c:numRef>
              <c:f>'Dati grafikiem-1'!$G$6:$G$21</c:f>
              <c:numCache>
                <c:formatCode>General</c:formatCode>
                <c:ptCount val="16"/>
                <c:pt idx="0">
                  <c:v>903</c:v>
                </c:pt>
                <c:pt idx="1">
                  <c:v>1055</c:v>
                </c:pt>
                <c:pt idx="2">
                  <c:v>134</c:v>
                </c:pt>
                <c:pt idx="3">
                  <c:v>850</c:v>
                </c:pt>
                <c:pt idx="4">
                  <c:v>233</c:v>
                </c:pt>
                <c:pt idx="5">
                  <c:v>919</c:v>
                </c:pt>
                <c:pt idx="6">
                  <c:v>1410</c:v>
                </c:pt>
                <c:pt idx="7">
                  <c:v>372</c:v>
                </c:pt>
                <c:pt idx="8">
                  <c:v>445</c:v>
                </c:pt>
                <c:pt idx="9">
                  <c:v>440</c:v>
                </c:pt>
                <c:pt idx="10">
                  <c:v>200</c:v>
                </c:pt>
                <c:pt idx="11">
                  <c:v>242</c:v>
                </c:pt>
                <c:pt idx="12">
                  <c:v>554</c:v>
                </c:pt>
                <c:pt idx="13">
                  <c:v>410</c:v>
                </c:pt>
                <c:pt idx="14">
                  <c:v>348</c:v>
                </c:pt>
                <c:pt idx="15">
                  <c:v>491</c:v>
                </c:pt>
              </c:numCache>
            </c:numRef>
          </c:val>
        </c:ser>
        <c:ser>
          <c:idx val="4"/>
          <c:order val="3"/>
          <c:tx>
            <c:v>Sausā laika slodze 2018, m3/d</c:v>
          </c:tx>
          <c:spPr>
            <a:solidFill>
              <a:schemeClr val="accent6">
                <a:lumMod val="75000"/>
              </a:schemeClr>
            </a:solidFill>
          </c:spPr>
          <c:invertIfNegative val="0"/>
          <c:cat>
            <c:strRef>
              <c:f>'Dati grafikiem-1'!$C$6:$C$21</c:f>
              <c:strCache>
                <c:ptCount val="16"/>
                <c:pt idx="0">
                  <c:v>Aizpute</c:v>
                </c:pt>
                <c:pt idx="1">
                  <c:v>Alūksne*</c:v>
                </c:pt>
                <c:pt idx="2">
                  <c:v>Auce</c:v>
                </c:pt>
                <c:pt idx="3">
                  <c:v>Babīte</c:v>
                </c:pt>
                <c:pt idx="4">
                  <c:v>Baldone</c:v>
                </c:pt>
                <c:pt idx="5">
                  <c:v>Baloži</c:v>
                </c:pt>
                <c:pt idx="6">
                  <c:v>Balvi</c:v>
                </c:pt>
                <c:pt idx="7">
                  <c:v>Brocēni*</c:v>
                </c:pt>
                <c:pt idx="8">
                  <c:v>Carnikava</c:v>
                </c:pt>
                <c:pt idx="9">
                  <c:v>Dagda</c:v>
                </c:pt>
                <c:pt idx="10">
                  <c:v>Dundaga*</c:v>
                </c:pt>
                <c:pt idx="11">
                  <c:v>Ērgļi*</c:v>
                </c:pt>
                <c:pt idx="12">
                  <c:v>Grobiņa</c:v>
                </c:pt>
                <c:pt idx="13">
                  <c:v>Iecava*</c:v>
                </c:pt>
                <c:pt idx="14">
                  <c:v>Ikšķile</c:v>
                </c:pt>
                <c:pt idx="15">
                  <c:v>Ilūkste</c:v>
                </c:pt>
              </c:strCache>
            </c:strRef>
          </c:cat>
          <c:val>
            <c:numRef>
              <c:f>'Dati grafikiem-1'!$H$6:$H$21</c:f>
              <c:numCache>
                <c:formatCode>General</c:formatCode>
                <c:ptCount val="16"/>
                <c:pt idx="0">
                  <c:v>440</c:v>
                </c:pt>
                <c:pt idx="1">
                  <c:v>574</c:v>
                </c:pt>
                <c:pt idx="2">
                  <c:v>181</c:v>
                </c:pt>
                <c:pt idx="3">
                  <c:v>700</c:v>
                </c:pt>
                <c:pt idx="4">
                  <c:v>190</c:v>
                </c:pt>
                <c:pt idx="5">
                  <c:v>900</c:v>
                </c:pt>
                <c:pt idx="6">
                  <c:v>780</c:v>
                </c:pt>
                <c:pt idx="7">
                  <c:v>330</c:v>
                </c:pt>
                <c:pt idx="8">
                  <c:v>410</c:v>
                </c:pt>
                <c:pt idx="9">
                  <c:v>180</c:v>
                </c:pt>
                <c:pt idx="10">
                  <c:v>180</c:v>
                </c:pt>
                <c:pt idx="11">
                  <c:v>240</c:v>
                </c:pt>
                <c:pt idx="12">
                  <c:v>300</c:v>
                </c:pt>
                <c:pt idx="13">
                  <c:v>430</c:v>
                </c:pt>
                <c:pt idx="14">
                  <c:v>380</c:v>
                </c:pt>
                <c:pt idx="15">
                  <c:v>175</c:v>
                </c:pt>
              </c:numCache>
            </c:numRef>
          </c:val>
        </c:ser>
        <c:dLbls>
          <c:showLegendKey val="0"/>
          <c:showVal val="0"/>
          <c:showCatName val="0"/>
          <c:showSerName val="0"/>
          <c:showPercent val="0"/>
          <c:showBubbleSize val="0"/>
        </c:dLbls>
        <c:gapWidth val="150"/>
        <c:axId val="522587128"/>
        <c:axId val="522587520"/>
      </c:barChart>
      <c:catAx>
        <c:axId val="522587128"/>
        <c:scaling>
          <c:orientation val="minMax"/>
        </c:scaling>
        <c:delete val="0"/>
        <c:axPos val="b"/>
        <c:numFmt formatCode="General" sourceLinked="0"/>
        <c:majorTickMark val="out"/>
        <c:minorTickMark val="none"/>
        <c:tickLblPos val="nextTo"/>
        <c:crossAx val="522587520"/>
        <c:crosses val="autoZero"/>
        <c:auto val="1"/>
        <c:lblAlgn val="ctr"/>
        <c:lblOffset val="100"/>
        <c:noMultiLvlLbl val="0"/>
      </c:catAx>
      <c:valAx>
        <c:axId val="522587520"/>
        <c:scaling>
          <c:orientation val="minMax"/>
        </c:scaling>
        <c:delete val="0"/>
        <c:axPos val="l"/>
        <c:majorGridlines/>
        <c:numFmt formatCode="General" sourceLinked="1"/>
        <c:majorTickMark val="out"/>
        <c:minorTickMark val="none"/>
        <c:tickLblPos val="nextTo"/>
        <c:crossAx val="522587128"/>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239650010715515E-2"/>
          <c:y val="4.4532228188725126E-2"/>
          <c:w val="0.64323490813648299"/>
          <c:h val="0.79380994323059373"/>
        </c:manualLayout>
      </c:layout>
      <c:barChart>
        <c:barDir val="col"/>
        <c:grouping val="clustered"/>
        <c:varyColors val="0"/>
        <c:ser>
          <c:idx val="0"/>
          <c:order val="0"/>
          <c:tx>
            <c:v>Projektētais CE/CE</c:v>
          </c:tx>
          <c:spPr>
            <a:solidFill>
              <a:schemeClr val="accent6">
                <a:lumMod val="75000"/>
              </a:schemeClr>
            </a:solidFill>
          </c:spPr>
          <c:invertIfNegative val="0"/>
          <c:cat>
            <c:strRef>
              <c:f>'Dati grafikiem-1'!$C$6:$C$21</c:f>
              <c:strCache>
                <c:ptCount val="16"/>
                <c:pt idx="0">
                  <c:v>Aizpute</c:v>
                </c:pt>
                <c:pt idx="1">
                  <c:v>Alūksne*</c:v>
                </c:pt>
                <c:pt idx="2">
                  <c:v>Auce</c:v>
                </c:pt>
                <c:pt idx="3">
                  <c:v>Babīte</c:v>
                </c:pt>
                <c:pt idx="4">
                  <c:v>Baldone</c:v>
                </c:pt>
                <c:pt idx="5">
                  <c:v>Baloži</c:v>
                </c:pt>
                <c:pt idx="6">
                  <c:v>Balvi</c:v>
                </c:pt>
                <c:pt idx="7">
                  <c:v>Brocēni*</c:v>
                </c:pt>
                <c:pt idx="8">
                  <c:v>Carnikava</c:v>
                </c:pt>
                <c:pt idx="9">
                  <c:v>Dagda</c:v>
                </c:pt>
                <c:pt idx="10">
                  <c:v>Dundaga*</c:v>
                </c:pt>
                <c:pt idx="11">
                  <c:v>Ērgļi*</c:v>
                </c:pt>
                <c:pt idx="12">
                  <c:v>Grobiņa</c:v>
                </c:pt>
                <c:pt idx="13">
                  <c:v>Iecava*</c:v>
                </c:pt>
                <c:pt idx="14">
                  <c:v>Ikšķile</c:v>
                </c:pt>
                <c:pt idx="15">
                  <c:v>Ilūkste</c:v>
                </c:pt>
              </c:strCache>
            </c:strRef>
          </c:cat>
          <c:val>
            <c:numRef>
              <c:f>'Dati grafikiem-3'!$R$6:$R$21</c:f>
              <c:numCache>
                <c:formatCode>General</c:formatCode>
                <c:ptCount val="16"/>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numCache>
            </c:numRef>
          </c:val>
        </c:ser>
        <c:ser>
          <c:idx val="2"/>
          <c:order val="1"/>
          <c:tx>
            <c:v>2016. g.CE/1 pieslēgto</c:v>
          </c:tx>
          <c:spPr>
            <a:solidFill>
              <a:schemeClr val="tx2">
                <a:lumMod val="60000"/>
                <a:lumOff val="40000"/>
              </a:schemeClr>
            </a:solidFill>
          </c:spPr>
          <c:invertIfNegative val="0"/>
          <c:cat>
            <c:strRef>
              <c:f>'Dati grafikiem-1'!$C$6:$C$21</c:f>
              <c:strCache>
                <c:ptCount val="16"/>
                <c:pt idx="0">
                  <c:v>Aizpute</c:v>
                </c:pt>
                <c:pt idx="1">
                  <c:v>Alūksne*</c:v>
                </c:pt>
                <c:pt idx="2">
                  <c:v>Auce</c:v>
                </c:pt>
                <c:pt idx="3">
                  <c:v>Babīte</c:v>
                </c:pt>
                <c:pt idx="4">
                  <c:v>Baldone</c:v>
                </c:pt>
                <c:pt idx="5">
                  <c:v>Baloži</c:v>
                </c:pt>
                <c:pt idx="6">
                  <c:v>Balvi</c:v>
                </c:pt>
                <c:pt idx="7">
                  <c:v>Brocēni*</c:v>
                </c:pt>
                <c:pt idx="8">
                  <c:v>Carnikava</c:v>
                </c:pt>
                <c:pt idx="9">
                  <c:v>Dagda</c:v>
                </c:pt>
                <c:pt idx="10">
                  <c:v>Dundaga*</c:v>
                </c:pt>
                <c:pt idx="11">
                  <c:v>Ērgļi*</c:v>
                </c:pt>
                <c:pt idx="12">
                  <c:v>Grobiņa</c:v>
                </c:pt>
                <c:pt idx="13">
                  <c:v>Iecava*</c:v>
                </c:pt>
                <c:pt idx="14">
                  <c:v>Ikšķile</c:v>
                </c:pt>
                <c:pt idx="15">
                  <c:v>Ilūkste</c:v>
                </c:pt>
              </c:strCache>
            </c:strRef>
          </c:cat>
          <c:val>
            <c:numRef>
              <c:f>'Dati grafikiem-3'!$S$6:$S$21</c:f>
              <c:numCache>
                <c:formatCode>General</c:formatCode>
                <c:ptCount val="16"/>
                <c:pt idx="0">
                  <c:v>0.441</c:v>
                </c:pt>
                <c:pt idx="1">
                  <c:v>0.218</c:v>
                </c:pt>
                <c:pt idx="2">
                  <c:v>9.5000000000000001E-2</c:v>
                </c:pt>
                <c:pt idx="3">
                  <c:v>1.4350000000000001</c:v>
                </c:pt>
                <c:pt idx="4">
                  <c:v>0.55600000000000005</c:v>
                </c:pt>
                <c:pt idx="5">
                  <c:v>0.91400000000000003</c:v>
                </c:pt>
                <c:pt idx="6">
                  <c:v>0.79100000000000004</c:v>
                </c:pt>
                <c:pt idx="7">
                  <c:v>0.35099999999999998</c:v>
                </c:pt>
                <c:pt idx="8">
                  <c:v>0.64900000000000002</c:v>
                </c:pt>
                <c:pt idx="9">
                  <c:v>0.68899999999999995</c:v>
                </c:pt>
                <c:pt idx="10">
                  <c:v>5.5819999999999999</c:v>
                </c:pt>
                <c:pt idx="11">
                  <c:v>3.105</c:v>
                </c:pt>
                <c:pt idx="12">
                  <c:v>0.68100000000000005</c:v>
                </c:pt>
                <c:pt idx="13">
                  <c:v>0.68</c:v>
                </c:pt>
                <c:pt idx="14">
                  <c:v>1.526</c:v>
                </c:pt>
                <c:pt idx="15">
                  <c:v>0.59099999999999997</c:v>
                </c:pt>
              </c:numCache>
            </c:numRef>
          </c:val>
        </c:ser>
        <c:ser>
          <c:idx val="3"/>
          <c:order val="2"/>
          <c:tx>
            <c:v>2017. g. CE/1 pieslēgto</c:v>
          </c:tx>
          <c:spPr>
            <a:solidFill>
              <a:schemeClr val="tx2">
                <a:lumMod val="60000"/>
                <a:lumOff val="40000"/>
              </a:schemeClr>
            </a:solidFill>
          </c:spPr>
          <c:invertIfNegative val="0"/>
          <c:cat>
            <c:strRef>
              <c:f>'Dati grafikiem-1'!$C$6:$C$21</c:f>
              <c:strCache>
                <c:ptCount val="16"/>
                <c:pt idx="0">
                  <c:v>Aizpute</c:v>
                </c:pt>
                <c:pt idx="1">
                  <c:v>Alūksne*</c:v>
                </c:pt>
                <c:pt idx="2">
                  <c:v>Auce</c:v>
                </c:pt>
                <c:pt idx="3">
                  <c:v>Babīte</c:v>
                </c:pt>
                <c:pt idx="4">
                  <c:v>Baldone</c:v>
                </c:pt>
                <c:pt idx="5">
                  <c:v>Baloži</c:v>
                </c:pt>
                <c:pt idx="6">
                  <c:v>Balvi</c:v>
                </c:pt>
                <c:pt idx="7">
                  <c:v>Brocēni*</c:v>
                </c:pt>
                <c:pt idx="8">
                  <c:v>Carnikava</c:v>
                </c:pt>
                <c:pt idx="9">
                  <c:v>Dagda</c:v>
                </c:pt>
                <c:pt idx="10">
                  <c:v>Dundaga*</c:v>
                </c:pt>
                <c:pt idx="11">
                  <c:v>Ērgļi*</c:v>
                </c:pt>
                <c:pt idx="12">
                  <c:v>Grobiņa</c:v>
                </c:pt>
                <c:pt idx="13">
                  <c:v>Iecava*</c:v>
                </c:pt>
                <c:pt idx="14">
                  <c:v>Ikšķile</c:v>
                </c:pt>
                <c:pt idx="15">
                  <c:v>Ilūkste</c:v>
                </c:pt>
              </c:strCache>
            </c:strRef>
          </c:cat>
          <c:val>
            <c:numRef>
              <c:f>'Dati grafikiem-3'!$T$6:$T$21</c:f>
              <c:numCache>
                <c:formatCode>General</c:formatCode>
                <c:ptCount val="16"/>
                <c:pt idx="0">
                  <c:v>0.68100000000000005</c:v>
                </c:pt>
                <c:pt idx="1">
                  <c:v>0.31900000000000001</c:v>
                </c:pt>
                <c:pt idx="2">
                  <c:v>8.4000000000000005E-2</c:v>
                </c:pt>
                <c:pt idx="3">
                  <c:v>1.3069999999999999</c:v>
                </c:pt>
                <c:pt idx="4">
                  <c:v>0.56499999999999995</c:v>
                </c:pt>
                <c:pt idx="5">
                  <c:v>1.1890000000000001</c:v>
                </c:pt>
                <c:pt idx="6">
                  <c:v>0.42599999999999999</c:v>
                </c:pt>
                <c:pt idx="7">
                  <c:v>0.58099999999999996</c:v>
                </c:pt>
                <c:pt idx="8">
                  <c:v>1.238</c:v>
                </c:pt>
                <c:pt idx="9">
                  <c:v>0.68899999999999995</c:v>
                </c:pt>
                <c:pt idx="10">
                  <c:v>1.655</c:v>
                </c:pt>
                <c:pt idx="11">
                  <c:v>1.446</c:v>
                </c:pt>
                <c:pt idx="12">
                  <c:v>0.496</c:v>
                </c:pt>
                <c:pt idx="13">
                  <c:v>0.80300000000000005</c:v>
                </c:pt>
                <c:pt idx="14">
                  <c:v>0.746</c:v>
                </c:pt>
                <c:pt idx="15">
                  <c:v>0.621</c:v>
                </c:pt>
              </c:numCache>
            </c:numRef>
          </c:val>
        </c:ser>
        <c:ser>
          <c:idx val="4"/>
          <c:order val="3"/>
          <c:tx>
            <c:v>ApsekošanasCE/1 pieslēgto</c:v>
          </c:tx>
          <c:spPr>
            <a:solidFill>
              <a:srgbClr val="FFC000"/>
            </a:solidFill>
          </c:spPr>
          <c:invertIfNegative val="0"/>
          <c:cat>
            <c:strRef>
              <c:f>'Dati grafikiem-1'!$C$6:$C$21</c:f>
              <c:strCache>
                <c:ptCount val="16"/>
                <c:pt idx="0">
                  <c:v>Aizpute</c:v>
                </c:pt>
                <c:pt idx="1">
                  <c:v>Alūksne*</c:v>
                </c:pt>
                <c:pt idx="2">
                  <c:v>Auce</c:v>
                </c:pt>
                <c:pt idx="3">
                  <c:v>Babīte</c:v>
                </c:pt>
                <c:pt idx="4">
                  <c:v>Baldone</c:v>
                </c:pt>
                <c:pt idx="5">
                  <c:v>Baloži</c:v>
                </c:pt>
                <c:pt idx="6">
                  <c:v>Balvi</c:v>
                </c:pt>
                <c:pt idx="7">
                  <c:v>Brocēni*</c:v>
                </c:pt>
                <c:pt idx="8">
                  <c:v>Carnikava</c:v>
                </c:pt>
                <c:pt idx="9">
                  <c:v>Dagda</c:v>
                </c:pt>
                <c:pt idx="10">
                  <c:v>Dundaga*</c:v>
                </c:pt>
                <c:pt idx="11">
                  <c:v>Ērgļi*</c:v>
                </c:pt>
                <c:pt idx="12">
                  <c:v>Grobiņa</c:v>
                </c:pt>
                <c:pt idx="13">
                  <c:v>Iecava*</c:v>
                </c:pt>
                <c:pt idx="14">
                  <c:v>Ikšķile</c:v>
                </c:pt>
                <c:pt idx="15">
                  <c:v>Ilūkste</c:v>
                </c:pt>
              </c:strCache>
            </c:strRef>
          </c:cat>
          <c:val>
            <c:numRef>
              <c:f>'Dati grafikiem-3'!$U$6:$U$21</c:f>
              <c:numCache>
                <c:formatCode>General</c:formatCode>
                <c:ptCount val="16"/>
                <c:pt idx="0">
                  <c:v>0.60299999999999998</c:v>
                </c:pt>
                <c:pt idx="1">
                  <c:v>0.872</c:v>
                </c:pt>
                <c:pt idx="2">
                  <c:v>0.45700000000000002</c:v>
                </c:pt>
                <c:pt idx="3">
                  <c:v>0.86299999999999999</c:v>
                </c:pt>
                <c:pt idx="4">
                  <c:v>0.71</c:v>
                </c:pt>
                <c:pt idx="5">
                  <c:v>1.45</c:v>
                </c:pt>
                <c:pt idx="6">
                  <c:v>0.70699999999999996</c:v>
                </c:pt>
                <c:pt idx="7">
                  <c:v>0.88700000000000001</c:v>
                </c:pt>
                <c:pt idx="8">
                  <c:v>0.84599999999999997</c:v>
                </c:pt>
                <c:pt idx="9">
                  <c:v>0.46899999999999997</c:v>
                </c:pt>
                <c:pt idx="10">
                  <c:v>2.0129999999999999</c:v>
                </c:pt>
                <c:pt idx="11">
                  <c:v>0.93100000000000005</c:v>
                </c:pt>
                <c:pt idx="12">
                  <c:v>0.41299999999999998</c:v>
                </c:pt>
                <c:pt idx="13">
                  <c:v>1.268</c:v>
                </c:pt>
                <c:pt idx="14">
                  <c:v>2.1819999999999999</c:v>
                </c:pt>
                <c:pt idx="15">
                  <c:v>0.55700000000000005</c:v>
                </c:pt>
              </c:numCache>
            </c:numRef>
          </c:val>
        </c:ser>
        <c:dLbls>
          <c:showLegendKey val="0"/>
          <c:showVal val="0"/>
          <c:showCatName val="0"/>
          <c:showSerName val="0"/>
          <c:showPercent val="0"/>
          <c:showBubbleSize val="0"/>
        </c:dLbls>
        <c:gapWidth val="150"/>
        <c:axId val="844655320"/>
        <c:axId val="844655712"/>
      </c:barChart>
      <c:catAx>
        <c:axId val="844655320"/>
        <c:scaling>
          <c:orientation val="minMax"/>
        </c:scaling>
        <c:delete val="0"/>
        <c:axPos val="b"/>
        <c:numFmt formatCode="General" sourceLinked="0"/>
        <c:majorTickMark val="out"/>
        <c:minorTickMark val="none"/>
        <c:tickLblPos val="nextTo"/>
        <c:crossAx val="844655712"/>
        <c:crosses val="autoZero"/>
        <c:auto val="1"/>
        <c:lblAlgn val="ctr"/>
        <c:lblOffset val="100"/>
        <c:noMultiLvlLbl val="0"/>
      </c:catAx>
      <c:valAx>
        <c:axId val="844655712"/>
        <c:scaling>
          <c:orientation val="minMax"/>
        </c:scaling>
        <c:delete val="0"/>
        <c:axPos val="l"/>
        <c:majorGridlines/>
        <c:numFmt formatCode="General" sourceLinked="1"/>
        <c:majorTickMark val="out"/>
        <c:minorTickMark val="none"/>
        <c:tickLblPos val="nextTo"/>
        <c:crossAx val="844655320"/>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239650010715515E-2"/>
          <c:y val="6.2259581494876516E-2"/>
          <c:w val="0.64092009332166811"/>
          <c:h val="0.79315528742739816"/>
        </c:manualLayout>
      </c:layout>
      <c:barChart>
        <c:barDir val="col"/>
        <c:grouping val="clustered"/>
        <c:varyColors val="0"/>
        <c:ser>
          <c:idx val="0"/>
          <c:order val="0"/>
          <c:tx>
            <c:v>Projektētais CE/CE</c:v>
          </c:tx>
          <c:spPr>
            <a:solidFill>
              <a:schemeClr val="accent6">
                <a:lumMod val="75000"/>
              </a:schemeClr>
            </a:solidFill>
          </c:spPr>
          <c:invertIfNegative val="0"/>
          <c:cat>
            <c:strRef>
              <c:f>'Dati grafikiem-1'!$C$22:$C$37</c:f>
              <c:strCache>
                <c:ptCount val="16"/>
                <c:pt idx="0">
                  <c:v>Īslīce*</c:v>
                </c:pt>
                <c:pt idx="1">
                  <c:v>Jaunolaine*</c:v>
                </c:pt>
                <c:pt idx="2">
                  <c:v>Jaunpiebalga*</c:v>
                </c:pt>
                <c:pt idx="3">
                  <c:v>Kandava*</c:v>
                </c:pt>
                <c:pt idx="4">
                  <c:v>Kārsava*</c:v>
                </c:pt>
                <c:pt idx="5">
                  <c:v>Krāslava*</c:v>
                </c:pt>
                <c:pt idx="6">
                  <c:v>Ķegums*</c:v>
                </c:pt>
                <c:pt idx="7">
                  <c:v>Lielvārde*</c:v>
                </c:pt>
                <c:pt idx="8">
                  <c:v>Liepa*</c:v>
                </c:pt>
                <c:pt idx="9">
                  <c:v>Limbaži</c:v>
                </c:pt>
                <c:pt idx="10">
                  <c:v>Līvāni</c:v>
                </c:pt>
                <c:pt idx="11">
                  <c:v>Ludza</c:v>
                </c:pt>
                <c:pt idx="12">
                  <c:v>Malta*</c:v>
                </c:pt>
                <c:pt idx="13">
                  <c:v>Mālpils*</c:v>
                </c:pt>
                <c:pt idx="14">
                  <c:v>Ozolnieki*</c:v>
                </c:pt>
                <c:pt idx="15">
                  <c:v>Pļaviņas*</c:v>
                </c:pt>
              </c:strCache>
            </c:strRef>
          </c:cat>
          <c:val>
            <c:numRef>
              <c:f>'Dati grafikiem-3'!$R$22:$R$37</c:f>
              <c:numCache>
                <c:formatCode>General</c:formatCode>
                <c:ptCount val="16"/>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numCache>
            </c:numRef>
          </c:val>
        </c:ser>
        <c:ser>
          <c:idx val="2"/>
          <c:order val="1"/>
          <c:tx>
            <c:v>2016. g.CE/1 pieslēgto</c:v>
          </c:tx>
          <c:spPr>
            <a:solidFill>
              <a:schemeClr val="tx2">
                <a:lumMod val="60000"/>
                <a:lumOff val="40000"/>
              </a:schemeClr>
            </a:solidFill>
          </c:spPr>
          <c:invertIfNegative val="0"/>
          <c:cat>
            <c:strRef>
              <c:f>'Dati grafikiem-1'!$C$22:$C$37</c:f>
              <c:strCache>
                <c:ptCount val="16"/>
                <c:pt idx="0">
                  <c:v>Īslīce*</c:v>
                </c:pt>
                <c:pt idx="1">
                  <c:v>Jaunolaine*</c:v>
                </c:pt>
                <c:pt idx="2">
                  <c:v>Jaunpiebalga*</c:v>
                </c:pt>
                <c:pt idx="3">
                  <c:v>Kandava*</c:v>
                </c:pt>
                <c:pt idx="4">
                  <c:v>Kārsava*</c:v>
                </c:pt>
                <c:pt idx="5">
                  <c:v>Krāslava*</c:v>
                </c:pt>
                <c:pt idx="6">
                  <c:v>Ķegums*</c:v>
                </c:pt>
                <c:pt idx="7">
                  <c:v>Lielvārde*</c:v>
                </c:pt>
                <c:pt idx="8">
                  <c:v>Liepa*</c:v>
                </c:pt>
                <c:pt idx="9">
                  <c:v>Limbaži</c:v>
                </c:pt>
                <c:pt idx="10">
                  <c:v>Līvāni</c:v>
                </c:pt>
                <c:pt idx="11">
                  <c:v>Ludza</c:v>
                </c:pt>
                <c:pt idx="12">
                  <c:v>Malta*</c:v>
                </c:pt>
                <c:pt idx="13">
                  <c:v>Mālpils*</c:v>
                </c:pt>
                <c:pt idx="14">
                  <c:v>Ozolnieki*</c:v>
                </c:pt>
                <c:pt idx="15">
                  <c:v>Pļaviņas*</c:v>
                </c:pt>
              </c:strCache>
            </c:strRef>
          </c:cat>
          <c:val>
            <c:numRef>
              <c:f>'Dati grafikiem-3'!$S$22:$S$37</c:f>
              <c:numCache>
                <c:formatCode>General</c:formatCode>
                <c:ptCount val="16"/>
                <c:pt idx="0">
                  <c:v>0.55400000000000005</c:v>
                </c:pt>
                <c:pt idx="1">
                  <c:v>0.57999999999999996</c:v>
                </c:pt>
                <c:pt idx="2">
                  <c:v>5.556</c:v>
                </c:pt>
                <c:pt idx="3">
                  <c:v>1.329</c:v>
                </c:pt>
                <c:pt idx="4">
                  <c:v>0.45100000000000001</c:v>
                </c:pt>
                <c:pt idx="5">
                  <c:v>1.3129999999999999</c:v>
                </c:pt>
                <c:pt idx="6">
                  <c:v>0.10299999999999999</c:v>
                </c:pt>
                <c:pt idx="7">
                  <c:v>0.78600000000000003</c:v>
                </c:pt>
                <c:pt idx="8">
                  <c:v>0.59799999999999998</c:v>
                </c:pt>
                <c:pt idx="9">
                  <c:v>1.2629999999999999</c:v>
                </c:pt>
                <c:pt idx="10">
                  <c:v>0.58799999999999997</c:v>
                </c:pt>
                <c:pt idx="11">
                  <c:v>0.80200000000000005</c:v>
                </c:pt>
                <c:pt idx="12">
                  <c:v>0.432</c:v>
                </c:pt>
                <c:pt idx="13">
                  <c:v>0.17599999999999999</c:v>
                </c:pt>
                <c:pt idx="14">
                  <c:v>1.228</c:v>
                </c:pt>
                <c:pt idx="15">
                  <c:v>0.34</c:v>
                </c:pt>
              </c:numCache>
            </c:numRef>
          </c:val>
        </c:ser>
        <c:ser>
          <c:idx val="3"/>
          <c:order val="2"/>
          <c:tx>
            <c:v>2017. g. CE/1 pieslēgto</c:v>
          </c:tx>
          <c:spPr>
            <a:solidFill>
              <a:schemeClr val="tx2">
                <a:lumMod val="60000"/>
                <a:lumOff val="40000"/>
              </a:schemeClr>
            </a:solidFill>
          </c:spPr>
          <c:invertIfNegative val="0"/>
          <c:cat>
            <c:strRef>
              <c:f>'Dati grafikiem-1'!$C$22:$C$37</c:f>
              <c:strCache>
                <c:ptCount val="16"/>
                <c:pt idx="0">
                  <c:v>Īslīce*</c:v>
                </c:pt>
                <c:pt idx="1">
                  <c:v>Jaunolaine*</c:v>
                </c:pt>
                <c:pt idx="2">
                  <c:v>Jaunpiebalga*</c:v>
                </c:pt>
                <c:pt idx="3">
                  <c:v>Kandava*</c:v>
                </c:pt>
                <c:pt idx="4">
                  <c:v>Kārsava*</c:v>
                </c:pt>
                <c:pt idx="5">
                  <c:v>Krāslava*</c:v>
                </c:pt>
                <c:pt idx="6">
                  <c:v>Ķegums*</c:v>
                </c:pt>
                <c:pt idx="7">
                  <c:v>Lielvārde*</c:v>
                </c:pt>
                <c:pt idx="8">
                  <c:v>Liepa*</c:v>
                </c:pt>
                <c:pt idx="9">
                  <c:v>Limbaži</c:v>
                </c:pt>
                <c:pt idx="10">
                  <c:v>Līvāni</c:v>
                </c:pt>
                <c:pt idx="11">
                  <c:v>Ludza</c:v>
                </c:pt>
                <c:pt idx="12">
                  <c:v>Malta*</c:v>
                </c:pt>
                <c:pt idx="13">
                  <c:v>Mālpils*</c:v>
                </c:pt>
                <c:pt idx="14">
                  <c:v>Ozolnieki*</c:v>
                </c:pt>
                <c:pt idx="15">
                  <c:v>Pļaviņas*</c:v>
                </c:pt>
              </c:strCache>
            </c:strRef>
          </c:cat>
          <c:val>
            <c:numRef>
              <c:f>'Dati grafikiem-3'!$T$22:$T$37</c:f>
              <c:numCache>
                <c:formatCode>General</c:formatCode>
                <c:ptCount val="16"/>
                <c:pt idx="0">
                  <c:v>2.7360000000000002</c:v>
                </c:pt>
                <c:pt idx="1">
                  <c:v>0.54900000000000004</c:v>
                </c:pt>
                <c:pt idx="2">
                  <c:v>5.952</c:v>
                </c:pt>
                <c:pt idx="3">
                  <c:v>0.65</c:v>
                </c:pt>
                <c:pt idx="4">
                  <c:v>1.2090000000000001</c:v>
                </c:pt>
                <c:pt idx="5">
                  <c:v>2.0720000000000001</c:v>
                </c:pt>
                <c:pt idx="6">
                  <c:v>0.16900000000000001</c:v>
                </c:pt>
                <c:pt idx="7">
                  <c:v>1.3</c:v>
                </c:pt>
                <c:pt idx="8">
                  <c:v>0.746</c:v>
                </c:pt>
                <c:pt idx="9">
                  <c:v>1.085</c:v>
                </c:pt>
                <c:pt idx="10">
                  <c:v>0.71299999999999997</c:v>
                </c:pt>
                <c:pt idx="11">
                  <c:v>0.63900000000000001</c:v>
                </c:pt>
                <c:pt idx="12">
                  <c:v>0.48199999999999998</c:v>
                </c:pt>
                <c:pt idx="13">
                  <c:v>0.30099999999999999</c:v>
                </c:pt>
                <c:pt idx="14">
                  <c:v>2.12</c:v>
                </c:pt>
                <c:pt idx="15">
                  <c:v>0.23899999999999999</c:v>
                </c:pt>
              </c:numCache>
            </c:numRef>
          </c:val>
        </c:ser>
        <c:ser>
          <c:idx val="4"/>
          <c:order val="3"/>
          <c:tx>
            <c:v>ApsekošanasCE/1 pieslēgto</c:v>
          </c:tx>
          <c:spPr>
            <a:solidFill>
              <a:srgbClr val="FFC000"/>
            </a:solidFill>
          </c:spPr>
          <c:invertIfNegative val="0"/>
          <c:cat>
            <c:strRef>
              <c:f>'Dati grafikiem-1'!$C$22:$C$37</c:f>
              <c:strCache>
                <c:ptCount val="16"/>
                <c:pt idx="0">
                  <c:v>Īslīce*</c:v>
                </c:pt>
                <c:pt idx="1">
                  <c:v>Jaunolaine*</c:v>
                </c:pt>
                <c:pt idx="2">
                  <c:v>Jaunpiebalga*</c:v>
                </c:pt>
                <c:pt idx="3">
                  <c:v>Kandava*</c:v>
                </c:pt>
                <c:pt idx="4">
                  <c:v>Kārsava*</c:v>
                </c:pt>
                <c:pt idx="5">
                  <c:v>Krāslava*</c:v>
                </c:pt>
                <c:pt idx="6">
                  <c:v>Ķegums*</c:v>
                </c:pt>
                <c:pt idx="7">
                  <c:v>Lielvārde*</c:v>
                </c:pt>
                <c:pt idx="8">
                  <c:v>Liepa*</c:v>
                </c:pt>
                <c:pt idx="9">
                  <c:v>Limbaži</c:v>
                </c:pt>
                <c:pt idx="10">
                  <c:v>Līvāni</c:v>
                </c:pt>
                <c:pt idx="11">
                  <c:v>Ludza</c:v>
                </c:pt>
                <c:pt idx="12">
                  <c:v>Malta*</c:v>
                </c:pt>
                <c:pt idx="13">
                  <c:v>Mālpils*</c:v>
                </c:pt>
                <c:pt idx="14">
                  <c:v>Ozolnieki*</c:v>
                </c:pt>
                <c:pt idx="15">
                  <c:v>Pļaviņas*</c:v>
                </c:pt>
              </c:strCache>
            </c:strRef>
          </c:cat>
          <c:val>
            <c:numRef>
              <c:f>'Dati grafikiem-3'!$U$22:$U$37</c:f>
              <c:numCache>
                <c:formatCode>General</c:formatCode>
                <c:ptCount val="16"/>
                <c:pt idx="0">
                  <c:v>1.962</c:v>
                </c:pt>
                <c:pt idx="1">
                  <c:v>2.9089999999999998</c:v>
                </c:pt>
                <c:pt idx="2">
                  <c:v>7.2750000000000004</c:v>
                </c:pt>
                <c:pt idx="3">
                  <c:v>0.46800000000000003</c:v>
                </c:pt>
                <c:pt idx="4">
                  <c:v>0.65600000000000003</c:v>
                </c:pt>
                <c:pt idx="5">
                  <c:v>0.78</c:v>
                </c:pt>
                <c:pt idx="6">
                  <c:v>1.212</c:v>
                </c:pt>
                <c:pt idx="7">
                  <c:v>2.113</c:v>
                </c:pt>
                <c:pt idx="8">
                  <c:v>1.7490000000000001</c:v>
                </c:pt>
                <c:pt idx="9">
                  <c:v>2.0190000000000001</c:v>
                </c:pt>
                <c:pt idx="10">
                  <c:v>0.59599999999999997</c:v>
                </c:pt>
                <c:pt idx="11">
                  <c:v>0.66500000000000004</c:v>
                </c:pt>
                <c:pt idx="12">
                  <c:v>0.71399999999999997</c:v>
                </c:pt>
                <c:pt idx="13">
                  <c:v>2.86</c:v>
                </c:pt>
                <c:pt idx="14">
                  <c:v>2.0470000000000002</c:v>
                </c:pt>
                <c:pt idx="15">
                  <c:v>0.372</c:v>
                </c:pt>
              </c:numCache>
            </c:numRef>
          </c:val>
        </c:ser>
        <c:dLbls>
          <c:showLegendKey val="0"/>
          <c:showVal val="0"/>
          <c:showCatName val="0"/>
          <c:showSerName val="0"/>
          <c:showPercent val="0"/>
          <c:showBubbleSize val="0"/>
        </c:dLbls>
        <c:gapWidth val="150"/>
        <c:axId val="829264840"/>
        <c:axId val="829265624"/>
      </c:barChart>
      <c:catAx>
        <c:axId val="829264840"/>
        <c:scaling>
          <c:orientation val="minMax"/>
        </c:scaling>
        <c:delete val="0"/>
        <c:axPos val="b"/>
        <c:numFmt formatCode="General" sourceLinked="0"/>
        <c:majorTickMark val="out"/>
        <c:minorTickMark val="none"/>
        <c:tickLblPos val="nextTo"/>
        <c:crossAx val="829265624"/>
        <c:crosses val="autoZero"/>
        <c:auto val="1"/>
        <c:lblAlgn val="ctr"/>
        <c:lblOffset val="100"/>
        <c:noMultiLvlLbl val="0"/>
      </c:catAx>
      <c:valAx>
        <c:axId val="829265624"/>
        <c:scaling>
          <c:orientation val="minMax"/>
        </c:scaling>
        <c:delete val="0"/>
        <c:axPos val="l"/>
        <c:majorGridlines/>
        <c:numFmt formatCode="General" sourceLinked="1"/>
        <c:majorTickMark val="out"/>
        <c:minorTickMark val="none"/>
        <c:tickLblPos val="nextTo"/>
        <c:crossAx val="829264840"/>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239650010715515E-2"/>
          <c:y val="5.5168640172415961E-2"/>
          <c:w val="0.64554972295129776"/>
          <c:h val="0.79134625987741603"/>
        </c:manualLayout>
      </c:layout>
      <c:barChart>
        <c:barDir val="col"/>
        <c:grouping val="clustered"/>
        <c:varyColors val="0"/>
        <c:ser>
          <c:idx val="0"/>
          <c:order val="0"/>
          <c:tx>
            <c:v>Projektētais CE/CE</c:v>
          </c:tx>
          <c:spPr>
            <a:solidFill>
              <a:schemeClr val="accent6">
                <a:lumMod val="75000"/>
              </a:schemeClr>
            </a:solidFill>
          </c:spPr>
          <c:invertIfNegative val="0"/>
          <c:cat>
            <c:strRef>
              <c:f>'Dati grafikiem-1'!$C$38:$C$54</c:f>
              <c:strCache>
                <c:ptCount val="17"/>
                <c:pt idx="0">
                  <c:v>Preiļi</c:v>
                </c:pt>
                <c:pt idx="1">
                  <c:v>Priekule</c:v>
                </c:pt>
                <c:pt idx="2">
                  <c:v>Priekuļi*</c:v>
                </c:pt>
                <c:pt idx="3">
                  <c:v>Roja*</c:v>
                </c:pt>
                <c:pt idx="4">
                  <c:v>Rūjiena*</c:v>
                </c:pt>
                <c:pt idx="5">
                  <c:v>Salacgrīva*</c:v>
                </c:pt>
                <c:pt idx="6">
                  <c:v>Saulkrasti*</c:v>
                </c:pt>
                <c:pt idx="7">
                  <c:v>Skrīveri</c:v>
                </c:pt>
                <c:pt idx="8">
                  <c:v>Skrunda</c:v>
                </c:pt>
                <c:pt idx="9">
                  <c:v>Smiltene</c:v>
                </c:pt>
                <c:pt idx="10">
                  <c:v>Stende*</c:v>
                </c:pt>
                <c:pt idx="11">
                  <c:v>Ulbroka*</c:v>
                </c:pt>
                <c:pt idx="12">
                  <c:v>Valka</c:v>
                </c:pt>
                <c:pt idx="13">
                  <c:v>Vangaži*</c:v>
                </c:pt>
                <c:pt idx="14">
                  <c:v>Varakļāni</c:v>
                </c:pt>
                <c:pt idx="15">
                  <c:v>Vecumnieki*</c:v>
                </c:pt>
                <c:pt idx="16">
                  <c:v>Viļāni*</c:v>
                </c:pt>
              </c:strCache>
            </c:strRef>
          </c:cat>
          <c:val>
            <c:numRef>
              <c:f>'Dati grafikiem-3'!$R$38:$R$54</c:f>
              <c:numCache>
                <c:formatCode>General</c:formatCode>
                <c:ptCount val="1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numCache>
            </c:numRef>
          </c:val>
        </c:ser>
        <c:ser>
          <c:idx val="2"/>
          <c:order val="1"/>
          <c:tx>
            <c:v>2016. g.CE/1 pieslēgto</c:v>
          </c:tx>
          <c:spPr>
            <a:solidFill>
              <a:schemeClr val="tx2">
                <a:lumMod val="60000"/>
                <a:lumOff val="40000"/>
              </a:schemeClr>
            </a:solidFill>
          </c:spPr>
          <c:invertIfNegative val="0"/>
          <c:cat>
            <c:strRef>
              <c:f>'Dati grafikiem-1'!$C$38:$C$54</c:f>
              <c:strCache>
                <c:ptCount val="17"/>
                <c:pt idx="0">
                  <c:v>Preiļi</c:v>
                </c:pt>
                <c:pt idx="1">
                  <c:v>Priekule</c:v>
                </c:pt>
                <c:pt idx="2">
                  <c:v>Priekuļi*</c:v>
                </c:pt>
                <c:pt idx="3">
                  <c:v>Roja*</c:v>
                </c:pt>
                <c:pt idx="4">
                  <c:v>Rūjiena*</c:v>
                </c:pt>
                <c:pt idx="5">
                  <c:v>Salacgrīva*</c:v>
                </c:pt>
                <c:pt idx="6">
                  <c:v>Saulkrasti*</c:v>
                </c:pt>
                <c:pt idx="7">
                  <c:v>Skrīveri</c:v>
                </c:pt>
                <c:pt idx="8">
                  <c:v>Skrunda</c:v>
                </c:pt>
                <c:pt idx="9">
                  <c:v>Smiltene</c:v>
                </c:pt>
                <c:pt idx="10">
                  <c:v>Stende*</c:v>
                </c:pt>
                <c:pt idx="11">
                  <c:v>Ulbroka*</c:v>
                </c:pt>
                <c:pt idx="12">
                  <c:v>Valka</c:v>
                </c:pt>
                <c:pt idx="13">
                  <c:v>Vangaži*</c:v>
                </c:pt>
                <c:pt idx="14">
                  <c:v>Varakļāni</c:v>
                </c:pt>
                <c:pt idx="15">
                  <c:v>Vecumnieki*</c:v>
                </c:pt>
                <c:pt idx="16">
                  <c:v>Viļāni*</c:v>
                </c:pt>
              </c:strCache>
            </c:strRef>
          </c:cat>
          <c:val>
            <c:numRef>
              <c:f>'Dati grafikiem-3'!$S$38:$S$54</c:f>
              <c:numCache>
                <c:formatCode>General</c:formatCode>
                <c:ptCount val="17"/>
                <c:pt idx="0">
                  <c:v>1.107</c:v>
                </c:pt>
                <c:pt idx="1">
                  <c:v>6.673</c:v>
                </c:pt>
                <c:pt idx="3">
                  <c:v>1.66</c:v>
                </c:pt>
                <c:pt idx="4">
                  <c:v>1.889</c:v>
                </c:pt>
                <c:pt idx="5">
                  <c:v>0.79200000000000004</c:v>
                </c:pt>
                <c:pt idx="6">
                  <c:v>0.747</c:v>
                </c:pt>
                <c:pt idx="7">
                  <c:v>1.0569999999999999</c:v>
                </c:pt>
                <c:pt idx="8">
                  <c:v>1.417</c:v>
                </c:pt>
                <c:pt idx="9">
                  <c:v>0.82099999999999995</c:v>
                </c:pt>
                <c:pt idx="10">
                  <c:v>3.2349999999999999</c:v>
                </c:pt>
                <c:pt idx="11">
                  <c:v>1.2070000000000001</c:v>
                </c:pt>
                <c:pt idx="12">
                  <c:v>0.71699999999999997</c:v>
                </c:pt>
                <c:pt idx="13">
                  <c:v>0.46300000000000002</c:v>
                </c:pt>
                <c:pt idx="14">
                  <c:v>0.89</c:v>
                </c:pt>
                <c:pt idx="15">
                  <c:v>0.72</c:v>
                </c:pt>
                <c:pt idx="16">
                  <c:v>0.36299999999999999</c:v>
                </c:pt>
              </c:numCache>
            </c:numRef>
          </c:val>
        </c:ser>
        <c:ser>
          <c:idx val="3"/>
          <c:order val="2"/>
          <c:tx>
            <c:v>2017. g. CE/1 pieslēgto</c:v>
          </c:tx>
          <c:spPr>
            <a:solidFill>
              <a:schemeClr val="tx2">
                <a:lumMod val="60000"/>
                <a:lumOff val="40000"/>
              </a:schemeClr>
            </a:solidFill>
          </c:spPr>
          <c:invertIfNegative val="0"/>
          <c:cat>
            <c:strRef>
              <c:f>'Dati grafikiem-1'!$C$38:$C$54</c:f>
              <c:strCache>
                <c:ptCount val="17"/>
                <c:pt idx="0">
                  <c:v>Preiļi</c:v>
                </c:pt>
                <c:pt idx="1">
                  <c:v>Priekule</c:v>
                </c:pt>
                <c:pt idx="2">
                  <c:v>Priekuļi*</c:v>
                </c:pt>
                <c:pt idx="3">
                  <c:v>Roja*</c:v>
                </c:pt>
                <c:pt idx="4">
                  <c:v>Rūjiena*</c:v>
                </c:pt>
                <c:pt idx="5">
                  <c:v>Salacgrīva*</c:v>
                </c:pt>
                <c:pt idx="6">
                  <c:v>Saulkrasti*</c:v>
                </c:pt>
                <c:pt idx="7">
                  <c:v>Skrīveri</c:v>
                </c:pt>
                <c:pt idx="8">
                  <c:v>Skrunda</c:v>
                </c:pt>
                <c:pt idx="9">
                  <c:v>Smiltene</c:v>
                </c:pt>
                <c:pt idx="10">
                  <c:v>Stende*</c:v>
                </c:pt>
                <c:pt idx="11">
                  <c:v>Ulbroka*</c:v>
                </c:pt>
                <c:pt idx="12">
                  <c:v>Valka</c:v>
                </c:pt>
                <c:pt idx="13">
                  <c:v>Vangaži*</c:v>
                </c:pt>
                <c:pt idx="14">
                  <c:v>Varakļāni</c:v>
                </c:pt>
                <c:pt idx="15">
                  <c:v>Vecumnieki*</c:v>
                </c:pt>
                <c:pt idx="16">
                  <c:v>Viļāni*</c:v>
                </c:pt>
              </c:strCache>
            </c:strRef>
          </c:cat>
          <c:val>
            <c:numRef>
              <c:f>'Dati grafikiem-3'!$T$38:$T$54</c:f>
              <c:numCache>
                <c:formatCode>General</c:formatCode>
                <c:ptCount val="17"/>
                <c:pt idx="0">
                  <c:v>1.19</c:v>
                </c:pt>
                <c:pt idx="1">
                  <c:v>1.1060000000000001</c:v>
                </c:pt>
                <c:pt idx="3">
                  <c:v>0.88100000000000001</c:v>
                </c:pt>
                <c:pt idx="4">
                  <c:v>1.857</c:v>
                </c:pt>
                <c:pt idx="5">
                  <c:v>1.0680000000000001</c:v>
                </c:pt>
                <c:pt idx="6">
                  <c:v>0.77400000000000002</c:v>
                </c:pt>
                <c:pt idx="7">
                  <c:v>0.54800000000000004</c:v>
                </c:pt>
                <c:pt idx="8">
                  <c:v>1.105</c:v>
                </c:pt>
                <c:pt idx="9">
                  <c:v>1.266</c:v>
                </c:pt>
                <c:pt idx="11">
                  <c:v>1.1859999999999999</c:v>
                </c:pt>
                <c:pt idx="12">
                  <c:v>0.90100000000000002</c:v>
                </c:pt>
                <c:pt idx="13">
                  <c:v>0.78800000000000003</c:v>
                </c:pt>
                <c:pt idx="14">
                  <c:v>2.762</c:v>
                </c:pt>
                <c:pt idx="15">
                  <c:v>0.86599999999999999</c:v>
                </c:pt>
                <c:pt idx="16">
                  <c:v>0.24199999999999999</c:v>
                </c:pt>
              </c:numCache>
            </c:numRef>
          </c:val>
        </c:ser>
        <c:ser>
          <c:idx val="4"/>
          <c:order val="3"/>
          <c:tx>
            <c:v>ApsekošanasCE/1 pieslēgto</c:v>
          </c:tx>
          <c:spPr>
            <a:solidFill>
              <a:srgbClr val="FFC000"/>
            </a:solidFill>
          </c:spPr>
          <c:invertIfNegative val="0"/>
          <c:cat>
            <c:strRef>
              <c:f>'Dati grafikiem-1'!$C$38:$C$54</c:f>
              <c:strCache>
                <c:ptCount val="17"/>
                <c:pt idx="0">
                  <c:v>Preiļi</c:v>
                </c:pt>
                <c:pt idx="1">
                  <c:v>Priekule</c:v>
                </c:pt>
                <c:pt idx="2">
                  <c:v>Priekuļi*</c:v>
                </c:pt>
                <c:pt idx="3">
                  <c:v>Roja*</c:v>
                </c:pt>
                <c:pt idx="4">
                  <c:v>Rūjiena*</c:v>
                </c:pt>
                <c:pt idx="5">
                  <c:v>Salacgrīva*</c:v>
                </c:pt>
                <c:pt idx="6">
                  <c:v>Saulkrasti*</c:v>
                </c:pt>
                <c:pt idx="7">
                  <c:v>Skrīveri</c:v>
                </c:pt>
                <c:pt idx="8">
                  <c:v>Skrunda</c:v>
                </c:pt>
                <c:pt idx="9">
                  <c:v>Smiltene</c:v>
                </c:pt>
                <c:pt idx="10">
                  <c:v>Stende*</c:v>
                </c:pt>
                <c:pt idx="11">
                  <c:v>Ulbroka*</c:v>
                </c:pt>
                <c:pt idx="12">
                  <c:v>Valka</c:v>
                </c:pt>
                <c:pt idx="13">
                  <c:v>Vangaži*</c:v>
                </c:pt>
                <c:pt idx="14">
                  <c:v>Varakļāni</c:v>
                </c:pt>
                <c:pt idx="15">
                  <c:v>Vecumnieki*</c:v>
                </c:pt>
                <c:pt idx="16">
                  <c:v>Viļāni*</c:v>
                </c:pt>
              </c:strCache>
            </c:strRef>
          </c:cat>
          <c:val>
            <c:numRef>
              <c:f>'Dati grafikiem-3'!$U$38:$U$54</c:f>
              <c:numCache>
                <c:formatCode>General</c:formatCode>
                <c:ptCount val="17"/>
                <c:pt idx="0">
                  <c:v>1.1779999999999999</c:v>
                </c:pt>
                <c:pt idx="1">
                  <c:v>1.325</c:v>
                </c:pt>
                <c:pt idx="3">
                  <c:v>3.7120000000000002</c:v>
                </c:pt>
                <c:pt idx="4">
                  <c:v>1.4690000000000001</c:v>
                </c:pt>
                <c:pt idx="5">
                  <c:v>0.14799999999999999</c:v>
                </c:pt>
                <c:pt idx="6">
                  <c:v>0.96</c:v>
                </c:pt>
                <c:pt idx="7">
                  <c:v>3.0659999999999998</c:v>
                </c:pt>
                <c:pt idx="8">
                  <c:v>0.77600000000000002</c:v>
                </c:pt>
                <c:pt idx="9">
                  <c:v>1.04</c:v>
                </c:pt>
                <c:pt idx="10">
                  <c:v>0.65500000000000003</c:v>
                </c:pt>
                <c:pt idx="11">
                  <c:v>1.3779999999999999</c:v>
                </c:pt>
                <c:pt idx="12">
                  <c:v>0.80100000000000005</c:v>
                </c:pt>
                <c:pt idx="13">
                  <c:v>2.3109999999999999</c:v>
                </c:pt>
                <c:pt idx="14">
                  <c:v>0.90600000000000003</c:v>
                </c:pt>
                <c:pt idx="15">
                  <c:v>1.3220000000000001</c:v>
                </c:pt>
                <c:pt idx="16">
                  <c:v>1.502</c:v>
                </c:pt>
              </c:numCache>
            </c:numRef>
          </c:val>
        </c:ser>
        <c:dLbls>
          <c:showLegendKey val="0"/>
          <c:showVal val="0"/>
          <c:showCatName val="0"/>
          <c:showSerName val="0"/>
          <c:showPercent val="0"/>
          <c:showBubbleSize val="0"/>
        </c:dLbls>
        <c:gapWidth val="150"/>
        <c:axId val="829261704"/>
        <c:axId val="829263272"/>
      </c:barChart>
      <c:catAx>
        <c:axId val="829261704"/>
        <c:scaling>
          <c:orientation val="minMax"/>
        </c:scaling>
        <c:delete val="0"/>
        <c:axPos val="b"/>
        <c:numFmt formatCode="General" sourceLinked="0"/>
        <c:majorTickMark val="out"/>
        <c:minorTickMark val="none"/>
        <c:tickLblPos val="nextTo"/>
        <c:crossAx val="829263272"/>
        <c:crosses val="autoZero"/>
        <c:auto val="1"/>
        <c:lblAlgn val="ctr"/>
        <c:lblOffset val="100"/>
        <c:noMultiLvlLbl val="0"/>
      </c:catAx>
      <c:valAx>
        <c:axId val="829263272"/>
        <c:scaling>
          <c:orientation val="minMax"/>
        </c:scaling>
        <c:delete val="0"/>
        <c:axPos val="l"/>
        <c:majorGridlines/>
        <c:numFmt formatCode="General" sourceLinked="1"/>
        <c:majorTickMark val="out"/>
        <c:minorTickMark val="none"/>
        <c:tickLblPos val="nextTo"/>
        <c:crossAx val="829261704"/>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Sadalījums</c:v>
          </c:tx>
          <c:invertIfNegative val="0"/>
          <c:cat>
            <c:numRef>
              <c:f>'Dati grafikiem-3'!$W$6:$W$29</c:f>
              <c:numCache>
                <c:formatCode>General</c:formatCode>
                <c:ptCount val="24"/>
                <c:pt idx="0">
                  <c:v>0.08</c:v>
                </c:pt>
                <c:pt idx="1">
                  <c:v>0.1</c:v>
                </c:pt>
                <c:pt idx="2">
                  <c:v>0.2</c:v>
                </c:pt>
                <c:pt idx="3">
                  <c:v>0.3</c:v>
                </c:pt>
                <c:pt idx="4">
                  <c:v>0.4</c:v>
                </c:pt>
                <c:pt idx="5">
                  <c:v>0.5</c:v>
                </c:pt>
                <c:pt idx="6">
                  <c:v>0.6</c:v>
                </c:pt>
                <c:pt idx="7">
                  <c:v>0.7</c:v>
                </c:pt>
                <c:pt idx="8">
                  <c:v>0.8</c:v>
                </c:pt>
                <c:pt idx="9">
                  <c:v>0.9</c:v>
                </c:pt>
                <c:pt idx="10">
                  <c:v>1</c:v>
                </c:pt>
                <c:pt idx="11">
                  <c:v>1.5</c:v>
                </c:pt>
                <c:pt idx="12">
                  <c:v>2</c:v>
                </c:pt>
                <c:pt idx="13">
                  <c:v>2.5</c:v>
                </c:pt>
                <c:pt idx="14">
                  <c:v>3</c:v>
                </c:pt>
                <c:pt idx="15">
                  <c:v>3.5</c:v>
                </c:pt>
                <c:pt idx="16">
                  <c:v>4</c:v>
                </c:pt>
                <c:pt idx="17">
                  <c:v>4.5</c:v>
                </c:pt>
                <c:pt idx="18">
                  <c:v>5</c:v>
                </c:pt>
                <c:pt idx="19">
                  <c:v>5.5</c:v>
                </c:pt>
                <c:pt idx="20">
                  <c:v>6</c:v>
                </c:pt>
                <c:pt idx="21">
                  <c:v>6.5</c:v>
                </c:pt>
                <c:pt idx="22">
                  <c:v>7</c:v>
                </c:pt>
                <c:pt idx="23">
                  <c:v>7.5</c:v>
                </c:pt>
              </c:numCache>
            </c:numRef>
          </c:cat>
          <c:val>
            <c:numRef>
              <c:f>'Dati grafikiem-3'!$X$6:$X$29</c:f>
              <c:numCache>
                <c:formatCode>General</c:formatCode>
                <c:ptCount val="24"/>
                <c:pt idx="0">
                  <c:v>0</c:v>
                </c:pt>
                <c:pt idx="1">
                  <c:v>1</c:v>
                </c:pt>
                <c:pt idx="2">
                  <c:v>2</c:v>
                </c:pt>
                <c:pt idx="3">
                  <c:v>1</c:v>
                </c:pt>
                <c:pt idx="4">
                  <c:v>3</c:v>
                </c:pt>
                <c:pt idx="5">
                  <c:v>4</c:v>
                </c:pt>
                <c:pt idx="6">
                  <c:v>6</c:v>
                </c:pt>
                <c:pt idx="7">
                  <c:v>4</c:v>
                </c:pt>
                <c:pt idx="8">
                  <c:v>6</c:v>
                </c:pt>
                <c:pt idx="9">
                  <c:v>3</c:v>
                </c:pt>
                <c:pt idx="10">
                  <c:v>1</c:v>
                </c:pt>
                <c:pt idx="11">
                  <c:v>9</c:v>
                </c:pt>
                <c:pt idx="12">
                  <c:v>3</c:v>
                </c:pt>
                <c:pt idx="13">
                  <c:v>0</c:v>
                </c:pt>
                <c:pt idx="14">
                  <c:v>0</c:v>
                </c:pt>
                <c:pt idx="15">
                  <c:v>2</c:v>
                </c:pt>
                <c:pt idx="16">
                  <c:v>0</c:v>
                </c:pt>
                <c:pt idx="17">
                  <c:v>0</c:v>
                </c:pt>
                <c:pt idx="18">
                  <c:v>0</c:v>
                </c:pt>
                <c:pt idx="19">
                  <c:v>0</c:v>
                </c:pt>
                <c:pt idx="20">
                  <c:v>2</c:v>
                </c:pt>
                <c:pt idx="21">
                  <c:v>0</c:v>
                </c:pt>
                <c:pt idx="22">
                  <c:v>1</c:v>
                </c:pt>
                <c:pt idx="23">
                  <c:v>0</c:v>
                </c:pt>
              </c:numCache>
            </c:numRef>
          </c:val>
        </c:ser>
        <c:dLbls>
          <c:showLegendKey val="0"/>
          <c:showVal val="0"/>
          <c:showCatName val="0"/>
          <c:showSerName val="0"/>
          <c:showPercent val="0"/>
          <c:showBubbleSize val="0"/>
        </c:dLbls>
        <c:gapWidth val="150"/>
        <c:axId val="829262880"/>
        <c:axId val="829262488"/>
      </c:barChart>
      <c:catAx>
        <c:axId val="829262880"/>
        <c:scaling>
          <c:orientation val="minMax"/>
        </c:scaling>
        <c:delete val="0"/>
        <c:axPos val="b"/>
        <c:numFmt formatCode="General" sourceLinked="1"/>
        <c:majorTickMark val="out"/>
        <c:minorTickMark val="none"/>
        <c:tickLblPos val="nextTo"/>
        <c:crossAx val="829262488"/>
        <c:crosses val="autoZero"/>
        <c:auto val="1"/>
        <c:lblAlgn val="ctr"/>
        <c:lblOffset val="100"/>
        <c:noMultiLvlLbl val="0"/>
      </c:catAx>
      <c:valAx>
        <c:axId val="829262488"/>
        <c:scaling>
          <c:orientation val="minMax"/>
        </c:scaling>
        <c:delete val="0"/>
        <c:axPos val="l"/>
        <c:majorGridlines/>
        <c:numFmt formatCode="General" sourceLinked="1"/>
        <c:majorTickMark val="out"/>
        <c:minorTickMark val="none"/>
        <c:tickLblPos val="nextTo"/>
        <c:crossAx val="829262880"/>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Sadalījums</c:v>
          </c:tx>
          <c:invertIfNegative val="0"/>
          <c:cat>
            <c:numRef>
              <c:f>'Dati grafikiem-3'!$W$6:$W$29</c:f>
              <c:numCache>
                <c:formatCode>General</c:formatCode>
                <c:ptCount val="24"/>
                <c:pt idx="0">
                  <c:v>0.08</c:v>
                </c:pt>
                <c:pt idx="1">
                  <c:v>0.1</c:v>
                </c:pt>
                <c:pt idx="2">
                  <c:v>0.2</c:v>
                </c:pt>
                <c:pt idx="3">
                  <c:v>0.3</c:v>
                </c:pt>
                <c:pt idx="4">
                  <c:v>0.4</c:v>
                </c:pt>
                <c:pt idx="5">
                  <c:v>0.5</c:v>
                </c:pt>
                <c:pt idx="6">
                  <c:v>0.6</c:v>
                </c:pt>
                <c:pt idx="7">
                  <c:v>0.7</c:v>
                </c:pt>
                <c:pt idx="8">
                  <c:v>0.8</c:v>
                </c:pt>
                <c:pt idx="9">
                  <c:v>0.9</c:v>
                </c:pt>
                <c:pt idx="10">
                  <c:v>1</c:v>
                </c:pt>
                <c:pt idx="11">
                  <c:v>1.5</c:v>
                </c:pt>
                <c:pt idx="12">
                  <c:v>2</c:v>
                </c:pt>
                <c:pt idx="13">
                  <c:v>2.5</c:v>
                </c:pt>
                <c:pt idx="14">
                  <c:v>3</c:v>
                </c:pt>
                <c:pt idx="15">
                  <c:v>3.5</c:v>
                </c:pt>
                <c:pt idx="16">
                  <c:v>4</c:v>
                </c:pt>
                <c:pt idx="17">
                  <c:v>4.5</c:v>
                </c:pt>
                <c:pt idx="18">
                  <c:v>5</c:v>
                </c:pt>
                <c:pt idx="19">
                  <c:v>5.5</c:v>
                </c:pt>
                <c:pt idx="20">
                  <c:v>6</c:v>
                </c:pt>
                <c:pt idx="21">
                  <c:v>6.5</c:v>
                </c:pt>
                <c:pt idx="22">
                  <c:v>7</c:v>
                </c:pt>
                <c:pt idx="23">
                  <c:v>7.5</c:v>
                </c:pt>
              </c:numCache>
            </c:numRef>
          </c:cat>
          <c:val>
            <c:numRef>
              <c:f>'Dati grafikiem-3'!$AA$6:$AA$29</c:f>
              <c:numCache>
                <c:formatCode>General</c:formatCode>
                <c:ptCount val="24"/>
                <c:pt idx="0">
                  <c:v>0</c:v>
                </c:pt>
                <c:pt idx="1">
                  <c:v>1</c:v>
                </c:pt>
                <c:pt idx="2">
                  <c:v>1</c:v>
                </c:pt>
                <c:pt idx="3">
                  <c:v>2</c:v>
                </c:pt>
                <c:pt idx="4">
                  <c:v>2</c:v>
                </c:pt>
                <c:pt idx="5">
                  <c:v>3</c:v>
                </c:pt>
                <c:pt idx="6">
                  <c:v>4</c:v>
                </c:pt>
                <c:pt idx="7">
                  <c:v>5</c:v>
                </c:pt>
                <c:pt idx="8">
                  <c:v>5</c:v>
                </c:pt>
                <c:pt idx="9">
                  <c:v>3</c:v>
                </c:pt>
                <c:pt idx="10">
                  <c:v>1</c:v>
                </c:pt>
                <c:pt idx="11">
                  <c:v>13</c:v>
                </c:pt>
                <c:pt idx="12">
                  <c:v>2</c:v>
                </c:pt>
                <c:pt idx="13">
                  <c:v>2</c:v>
                </c:pt>
                <c:pt idx="14">
                  <c:v>2</c:v>
                </c:pt>
                <c:pt idx="15">
                  <c:v>0</c:v>
                </c:pt>
                <c:pt idx="16">
                  <c:v>0</c:v>
                </c:pt>
                <c:pt idx="17">
                  <c:v>0</c:v>
                </c:pt>
                <c:pt idx="18">
                  <c:v>0</c:v>
                </c:pt>
                <c:pt idx="19">
                  <c:v>0</c:v>
                </c:pt>
                <c:pt idx="20">
                  <c:v>1</c:v>
                </c:pt>
                <c:pt idx="21">
                  <c:v>0</c:v>
                </c:pt>
                <c:pt idx="22">
                  <c:v>0</c:v>
                </c:pt>
                <c:pt idx="23">
                  <c:v>0</c:v>
                </c:pt>
              </c:numCache>
            </c:numRef>
          </c:val>
        </c:ser>
        <c:dLbls>
          <c:showLegendKey val="0"/>
          <c:showVal val="0"/>
          <c:showCatName val="0"/>
          <c:showSerName val="0"/>
          <c:showPercent val="0"/>
          <c:showBubbleSize val="0"/>
        </c:dLbls>
        <c:gapWidth val="150"/>
        <c:axId val="829262096"/>
        <c:axId val="427260616"/>
      </c:barChart>
      <c:catAx>
        <c:axId val="829262096"/>
        <c:scaling>
          <c:orientation val="minMax"/>
        </c:scaling>
        <c:delete val="0"/>
        <c:axPos val="b"/>
        <c:numFmt formatCode="General" sourceLinked="1"/>
        <c:majorTickMark val="out"/>
        <c:minorTickMark val="none"/>
        <c:tickLblPos val="nextTo"/>
        <c:crossAx val="427260616"/>
        <c:crosses val="autoZero"/>
        <c:auto val="1"/>
        <c:lblAlgn val="ctr"/>
        <c:lblOffset val="100"/>
        <c:noMultiLvlLbl val="0"/>
      </c:catAx>
      <c:valAx>
        <c:axId val="427260616"/>
        <c:scaling>
          <c:orientation val="minMax"/>
        </c:scaling>
        <c:delete val="0"/>
        <c:axPos val="l"/>
        <c:majorGridlines/>
        <c:numFmt formatCode="General" sourceLinked="1"/>
        <c:majorTickMark val="out"/>
        <c:minorTickMark val="none"/>
        <c:tickLblPos val="nextTo"/>
        <c:crossAx val="829262096"/>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Sadalījums</c:v>
          </c:tx>
          <c:invertIfNegative val="0"/>
          <c:cat>
            <c:numRef>
              <c:f>'Dati grafikiem-3'!$W$6:$W$29</c:f>
              <c:numCache>
                <c:formatCode>General</c:formatCode>
                <c:ptCount val="24"/>
                <c:pt idx="0">
                  <c:v>0.08</c:v>
                </c:pt>
                <c:pt idx="1">
                  <c:v>0.1</c:v>
                </c:pt>
                <c:pt idx="2">
                  <c:v>0.2</c:v>
                </c:pt>
                <c:pt idx="3">
                  <c:v>0.3</c:v>
                </c:pt>
                <c:pt idx="4">
                  <c:v>0.4</c:v>
                </c:pt>
                <c:pt idx="5">
                  <c:v>0.5</c:v>
                </c:pt>
                <c:pt idx="6">
                  <c:v>0.6</c:v>
                </c:pt>
                <c:pt idx="7">
                  <c:v>0.7</c:v>
                </c:pt>
                <c:pt idx="8">
                  <c:v>0.8</c:v>
                </c:pt>
                <c:pt idx="9">
                  <c:v>0.9</c:v>
                </c:pt>
                <c:pt idx="10">
                  <c:v>1</c:v>
                </c:pt>
                <c:pt idx="11">
                  <c:v>1.5</c:v>
                </c:pt>
                <c:pt idx="12">
                  <c:v>2</c:v>
                </c:pt>
                <c:pt idx="13">
                  <c:v>2.5</c:v>
                </c:pt>
                <c:pt idx="14">
                  <c:v>3</c:v>
                </c:pt>
                <c:pt idx="15">
                  <c:v>3.5</c:v>
                </c:pt>
                <c:pt idx="16">
                  <c:v>4</c:v>
                </c:pt>
                <c:pt idx="17">
                  <c:v>4.5</c:v>
                </c:pt>
                <c:pt idx="18">
                  <c:v>5</c:v>
                </c:pt>
                <c:pt idx="19">
                  <c:v>5.5</c:v>
                </c:pt>
                <c:pt idx="20">
                  <c:v>6</c:v>
                </c:pt>
                <c:pt idx="21">
                  <c:v>6.5</c:v>
                </c:pt>
                <c:pt idx="22">
                  <c:v>7</c:v>
                </c:pt>
                <c:pt idx="23">
                  <c:v>7.5</c:v>
                </c:pt>
              </c:numCache>
            </c:numRef>
          </c:cat>
          <c:val>
            <c:numRef>
              <c:f>'Dati grafikiem-3'!$AD$6:$AD$29</c:f>
              <c:numCache>
                <c:formatCode>General</c:formatCode>
                <c:ptCount val="24"/>
                <c:pt idx="0">
                  <c:v>0</c:v>
                </c:pt>
                <c:pt idx="1">
                  <c:v>0</c:v>
                </c:pt>
                <c:pt idx="2">
                  <c:v>1</c:v>
                </c:pt>
                <c:pt idx="3">
                  <c:v>0</c:v>
                </c:pt>
                <c:pt idx="4">
                  <c:v>1</c:v>
                </c:pt>
                <c:pt idx="5">
                  <c:v>4</c:v>
                </c:pt>
                <c:pt idx="6">
                  <c:v>2</c:v>
                </c:pt>
                <c:pt idx="7">
                  <c:v>4</c:v>
                </c:pt>
                <c:pt idx="8">
                  <c:v>5</c:v>
                </c:pt>
                <c:pt idx="9">
                  <c:v>5</c:v>
                </c:pt>
                <c:pt idx="10">
                  <c:v>3</c:v>
                </c:pt>
                <c:pt idx="11">
                  <c:v>9</c:v>
                </c:pt>
                <c:pt idx="12">
                  <c:v>3</c:v>
                </c:pt>
                <c:pt idx="13">
                  <c:v>6</c:v>
                </c:pt>
                <c:pt idx="14">
                  <c:v>2</c:v>
                </c:pt>
                <c:pt idx="15">
                  <c:v>1</c:v>
                </c:pt>
                <c:pt idx="16">
                  <c:v>1</c:v>
                </c:pt>
                <c:pt idx="17">
                  <c:v>0</c:v>
                </c:pt>
                <c:pt idx="18">
                  <c:v>0</c:v>
                </c:pt>
                <c:pt idx="19">
                  <c:v>0</c:v>
                </c:pt>
                <c:pt idx="20">
                  <c:v>0</c:v>
                </c:pt>
                <c:pt idx="21">
                  <c:v>0</c:v>
                </c:pt>
                <c:pt idx="22">
                  <c:v>0</c:v>
                </c:pt>
                <c:pt idx="23">
                  <c:v>1</c:v>
                </c:pt>
              </c:numCache>
            </c:numRef>
          </c:val>
        </c:ser>
        <c:dLbls>
          <c:showLegendKey val="0"/>
          <c:showVal val="0"/>
          <c:showCatName val="0"/>
          <c:showSerName val="0"/>
          <c:showPercent val="0"/>
          <c:showBubbleSize val="0"/>
        </c:dLbls>
        <c:gapWidth val="150"/>
        <c:axId val="429518048"/>
        <c:axId val="437171592"/>
      </c:barChart>
      <c:catAx>
        <c:axId val="429518048"/>
        <c:scaling>
          <c:orientation val="minMax"/>
        </c:scaling>
        <c:delete val="0"/>
        <c:axPos val="b"/>
        <c:numFmt formatCode="General" sourceLinked="1"/>
        <c:majorTickMark val="out"/>
        <c:minorTickMark val="none"/>
        <c:tickLblPos val="nextTo"/>
        <c:crossAx val="437171592"/>
        <c:crosses val="autoZero"/>
        <c:auto val="1"/>
        <c:lblAlgn val="ctr"/>
        <c:lblOffset val="100"/>
        <c:noMultiLvlLbl val="0"/>
      </c:catAx>
      <c:valAx>
        <c:axId val="437171592"/>
        <c:scaling>
          <c:orientation val="minMax"/>
        </c:scaling>
        <c:delete val="0"/>
        <c:axPos val="l"/>
        <c:majorGridlines/>
        <c:numFmt formatCode="General" sourceLinked="1"/>
        <c:majorTickMark val="out"/>
        <c:minorTickMark val="none"/>
        <c:tickLblPos val="nextTo"/>
        <c:crossAx val="429518048"/>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239650010715515E-2"/>
          <c:y val="5.8714110833646235E-2"/>
          <c:w val="0.60415226742490524"/>
          <c:h val="0.76160450693530357"/>
        </c:manualLayout>
      </c:layout>
      <c:barChart>
        <c:barDir val="col"/>
        <c:grouping val="clustered"/>
        <c:varyColors val="0"/>
        <c:ser>
          <c:idx val="2"/>
          <c:order val="0"/>
          <c:tx>
            <c:v>2016. g. ĶSP slodze, kg/d</c:v>
          </c:tx>
          <c:spPr>
            <a:solidFill>
              <a:srgbClr val="FFC000"/>
            </a:solidFill>
          </c:spPr>
          <c:invertIfNegative val="0"/>
          <c:cat>
            <c:strRef>
              <c:f>'Dati grafikiem-1'!$C$6:$C$21</c:f>
              <c:strCache>
                <c:ptCount val="16"/>
                <c:pt idx="0">
                  <c:v>Aizpute</c:v>
                </c:pt>
                <c:pt idx="1">
                  <c:v>Alūksne*</c:v>
                </c:pt>
                <c:pt idx="2">
                  <c:v>Auce</c:v>
                </c:pt>
                <c:pt idx="3">
                  <c:v>Babīte</c:v>
                </c:pt>
                <c:pt idx="4">
                  <c:v>Baldone</c:v>
                </c:pt>
                <c:pt idx="5">
                  <c:v>Baloži</c:v>
                </c:pt>
                <c:pt idx="6">
                  <c:v>Balvi</c:v>
                </c:pt>
                <c:pt idx="7">
                  <c:v>Brocēni*</c:v>
                </c:pt>
                <c:pt idx="8">
                  <c:v>Carnikava</c:v>
                </c:pt>
                <c:pt idx="9">
                  <c:v>Dagda</c:v>
                </c:pt>
                <c:pt idx="10">
                  <c:v>Dundaga*</c:v>
                </c:pt>
                <c:pt idx="11">
                  <c:v>Ērgļi*</c:v>
                </c:pt>
                <c:pt idx="12">
                  <c:v>Grobiņa</c:v>
                </c:pt>
                <c:pt idx="13">
                  <c:v>Iecava*</c:v>
                </c:pt>
                <c:pt idx="14">
                  <c:v>Ikšķile</c:v>
                </c:pt>
                <c:pt idx="15">
                  <c:v>Ilūkste</c:v>
                </c:pt>
              </c:strCache>
            </c:strRef>
          </c:cat>
          <c:val>
            <c:numRef>
              <c:f>'Dati grafikiem-2'!$L$6:$L$21</c:f>
              <c:numCache>
                <c:formatCode>General</c:formatCode>
                <c:ptCount val="16"/>
                <c:pt idx="0">
                  <c:v>186</c:v>
                </c:pt>
                <c:pt idx="1">
                  <c:v>264</c:v>
                </c:pt>
                <c:pt idx="2">
                  <c:v>17</c:v>
                </c:pt>
                <c:pt idx="3">
                  <c:v>929</c:v>
                </c:pt>
                <c:pt idx="4">
                  <c:v>148</c:v>
                </c:pt>
                <c:pt idx="5">
                  <c:v>848</c:v>
                </c:pt>
                <c:pt idx="6">
                  <c:v>529</c:v>
                </c:pt>
                <c:pt idx="7">
                  <c:v>134</c:v>
                </c:pt>
                <c:pt idx="8">
                  <c:v>297</c:v>
                </c:pt>
                <c:pt idx="9">
                  <c:v>172</c:v>
                </c:pt>
                <c:pt idx="10">
                  <c:v>1306</c:v>
                </c:pt>
                <c:pt idx="11">
                  <c:v>633</c:v>
                </c:pt>
                <c:pt idx="12">
                  <c:v>260</c:v>
                </c:pt>
                <c:pt idx="13">
                  <c:v>251</c:v>
                </c:pt>
                <c:pt idx="14">
                  <c:v>579</c:v>
                </c:pt>
                <c:pt idx="15">
                  <c:v>133</c:v>
                </c:pt>
              </c:numCache>
            </c:numRef>
          </c:val>
        </c:ser>
        <c:ser>
          <c:idx val="3"/>
          <c:order val="1"/>
          <c:tx>
            <c:v>2017. g. ĶSP slodze, kg/d</c:v>
          </c:tx>
          <c:spPr>
            <a:solidFill>
              <a:srgbClr val="FFC000"/>
            </a:solidFill>
          </c:spPr>
          <c:invertIfNegative val="0"/>
          <c:cat>
            <c:strRef>
              <c:f>'Dati grafikiem-1'!$C$6:$C$21</c:f>
              <c:strCache>
                <c:ptCount val="16"/>
                <c:pt idx="0">
                  <c:v>Aizpute</c:v>
                </c:pt>
                <c:pt idx="1">
                  <c:v>Alūksne*</c:v>
                </c:pt>
                <c:pt idx="2">
                  <c:v>Auce</c:v>
                </c:pt>
                <c:pt idx="3">
                  <c:v>Babīte</c:v>
                </c:pt>
                <c:pt idx="4">
                  <c:v>Baldone</c:v>
                </c:pt>
                <c:pt idx="5">
                  <c:v>Baloži</c:v>
                </c:pt>
                <c:pt idx="6">
                  <c:v>Balvi</c:v>
                </c:pt>
                <c:pt idx="7">
                  <c:v>Brocēni*</c:v>
                </c:pt>
                <c:pt idx="8">
                  <c:v>Carnikava</c:v>
                </c:pt>
                <c:pt idx="9">
                  <c:v>Dagda</c:v>
                </c:pt>
                <c:pt idx="10">
                  <c:v>Dundaga*</c:v>
                </c:pt>
                <c:pt idx="11">
                  <c:v>Ērgļi*</c:v>
                </c:pt>
                <c:pt idx="12">
                  <c:v>Grobiņa</c:v>
                </c:pt>
                <c:pt idx="13">
                  <c:v>Iecava*</c:v>
                </c:pt>
                <c:pt idx="14">
                  <c:v>Ikšķile</c:v>
                </c:pt>
                <c:pt idx="15">
                  <c:v>Ilūkste</c:v>
                </c:pt>
              </c:strCache>
            </c:strRef>
          </c:cat>
          <c:val>
            <c:numRef>
              <c:f>'Dati grafikiem-2'!$M$6:$M$21</c:f>
              <c:numCache>
                <c:formatCode>General</c:formatCode>
                <c:ptCount val="16"/>
                <c:pt idx="0">
                  <c:v>333</c:v>
                </c:pt>
                <c:pt idx="1">
                  <c:v>342</c:v>
                </c:pt>
                <c:pt idx="2">
                  <c:v>20</c:v>
                </c:pt>
                <c:pt idx="3">
                  <c:v>1115</c:v>
                </c:pt>
                <c:pt idx="4">
                  <c:v>166</c:v>
                </c:pt>
                <c:pt idx="5">
                  <c:v>877</c:v>
                </c:pt>
                <c:pt idx="6">
                  <c:v>345</c:v>
                </c:pt>
                <c:pt idx="7">
                  <c:v>224</c:v>
                </c:pt>
                <c:pt idx="8">
                  <c:v>476</c:v>
                </c:pt>
                <c:pt idx="9">
                  <c:v>169</c:v>
                </c:pt>
                <c:pt idx="10">
                  <c:v>355</c:v>
                </c:pt>
                <c:pt idx="11">
                  <c:v>247</c:v>
                </c:pt>
                <c:pt idx="12">
                  <c:v>169</c:v>
                </c:pt>
                <c:pt idx="13">
                  <c:v>273</c:v>
                </c:pt>
                <c:pt idx="14">
                  <c:v>337</c:v>
                </c:pt>
                <c:pt idx="15">
                  <c:v>151</c:v>
                </c:pt>
              </c:numCache>
            </c:numRef>
          </c:val>
        </c:ser>
        <c:ser>
          <c:idx val="4"/>
          <c:order val="2"/>
          <c:tx>
            <c:v>Apsekošanas ĶSP slodze, kg/d</c:v>
          </c:tx>
          <c:spPr>
            <a:solidFill>
              <a:schemeClr val="tx2">
                <a:lumMod val="60000"/>
                <a:lumOff val="40000"/>
              </a:schemeClr>
            </a:solidFill>
          </c:spPr>
          <c:invertIfNegative val="0"/>
          <c:cat>
            <c:strRef>
              <c:f>'Dati grafikiem-1'!$C$6:$C$21</c:f>
              <c:strCache>
                <c:ptCount val="16"/>
                <c:pt idx="0">
                  <c:v>Aizpute</c:v>
                </c:pt>
                <c:pt idx="1">
                  <c:v>Alūksne*</c:v>
                </c:pt>
                <c:pt idx="2">
                  <c:v>Auce</c:v>
                </c:pt>
                <c:pt idx="3">
                  <c:v>Babīte</c:v>
                </c:pt>
                <c:pt idx="4">
                  <c:v>Baldone</c:v>
                </c:pt>
                <c:pt idx="5">
                  <c:v>Baloži</c:v>
                </c:pt>
                <c:pt idx="6">
                  <c:v>Balvi</c:v>
                </c:pt>
                <c:pt idx="7">
                  <c:v>Brocēni*</c:v>
                </c:pt>
                <c:pt idx="8">
                  <c:v>Carnikava</c:v>
                </c:pt>
                <c:pt idx="9">
                  <c:v>Dagda</c:v>
                </c:pt>
                <c:pt idx="10">
                  <c:v>Dundaga*</c:v>
                </c:pt>
                <c:pt idx="11">
                  <c:v>Ērgļi*</c:v>
                </c:pt>
                <c:pt idx="12">
                  <c:v>Grobiņa</c:v>
                </c:pt>
                <c:pt idx="13">
                  <c:v>Iecava*</c:v>
                </c:pt>
                <c:pt idx="14">
                  <c:v>Ikšķile</c:v>
                </c:pt>
                <c:pt idx="15">
                  <c:v>Ilūkste</c:v>
                </c:pt>
              </c:strCache>
            </c:strRef>
          </c:cat>
          <c:val>
            <c:numRef>
              <c:f>'Dati grafikiem-2'!$N$6:$N$21</c:f>
              <c:numCache>
                <c:formatCode>General</c:formatCode>
                <c:ptCount val="16"/>
                <c:pt idx="0">
                  <c:v>356</c:v>
                </c:pt>
                <c:pt idx="1">
                  <c:v>419</c:v>
                </c:pt>
                <c:pt idx="2">
                  <c:v>92</c:v>
                </c:pt>
                <c:pt idx="3">
                  <c:v>497</c:v>
                </c:pt>
                <c:pt idx="4">
                  <c:v>114</c:v>
                </c:pt>
                <c:pt idx="5">
                  <c:v>945</c:v>
                </c:pt>
                <c:pt idx="6">
                  <c:v>429</c:v>
                </c:pt>
                <c:pt idx="7">
                  <c:v>281</c:v>
                </c:pt>
                <c:pt idx="8">
                  <c:v>246</c:v>
                </c:pt>
                <c:pt idx="9">
                  <c:v>94</c:v>
                </c:pt>
                <c:pt idx="10">
                  <c:v>232</c:v>
                </c:pt>
                <c:pt idx="11">
                  <c:v>216</c:v>
                </c:pt>
                <c:pt idx="12">
                  <c:v>174</c:v>
                </c:pt>
                <c:pt idx="13">
                  <c:v>409</c:v>
                </c:pt>
                <c:pt idx="14">
                  <c:v>562</c:v>
                </c:pt>
                <c:pt idx="15">
                  <c:v>116</c:v>
                </c:pt>
              </c:numCache>
            </c:numRef>
          </c:val>
        </c:ser>
        <c:dLbls>
          <c:showLegendKey val="0"/>
          <c:showVal val="0"/>
          <c:showCatName val="0"/>
          <c:showSerName val="0"/>
          <c:showPercent val="0"/>
          <c:showBubbleSize val="0"/>
        </c:dLbls>
        <c:gapWidth val="150"/>
        <c:axId val="437171984"/>
        <c:axId val="437172376"/>
      </c:barChart>
      <c:catAx>
        <c:axId val="437171984"/>
        <c:scaling>
          <c:orientation val="minMax"/>
        </c:scaling>
        <c:delete val="0"/>
        <c:axPos val="b"/>
        <c:numFmt formatCode="General" sourceLinked="0"/>
        <c:majorTickMark val="out"/>
        <c:minorTickMark val="none"/>
        <c:tickLblPos val="nextTo"/>
        <c:crossAx val="437172376"/>
        <c:crosses val="autoZero"/>
        <c:auto val="1"/>
        <c:lblAlgn val="ctr"/>
        <c:lblOffset val="100"/>
        <c:noMultiLvlLbl val="0"/>
      </c:catAx>
      <c:valAx>
        <c:axId val="437172376"/>
        <c:scaling>
          <c:orientation val="minMax"/>
        </c:scaling>
        <c:delete val="0"/>
        <c:axPos val="l"/>
        <c:majorGridlines/>
        <c:numFmt formatCode="General" sourceLinked="1"/>
        <c:majorTickMark val="out"/>
        <c:minorTickMark val="none"/>
        <c:tickLblPos val="nextTo"/>
        <c:crossAx val="437171984"/>
        <c:crosses val="autoZero"/>
        <c:crossBetween val="between"/>
      </c:valAx>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239650010715515E-2"/>
          <c:y val="4.4532228188725126E-2"/>
          <c:w val="0.60415226742490524"/>
          <c:h val="0.73341717766576819"/>
        </c:manualLayout>
      </c:layout>
      <c:barChart>
        <c:barDir val="col"/>
        <c:grouping val="clustered"/>
        <c:varyColors val="0"/>
        <c:ser>
          <c:idx val="2"/>
          <c:order val="0"/>
          <c:tx>
            <c:v>2016. g. ĶSP slodze, kg/d</c:v>
          </c:tx>
          <c:spPr>
            <a:solidFill>
              <a:srgbClr val="FFC000"/>
            </a:solidFill>
          </c:spPr>
          <c:invertIfNegative val="0"/>
          <c:cat>
            <c:strRef>
              <c:f>'Dati grafikiem-1'!$C$22:$C$37</c:f>
              <c:strCache>
                <c:ptCount val="16"/>
                <c:pt idx="0">
                  <c:v>Īslīce*</c:v>
                </c:pt>
                <c:pt idx="1">
                  <c:v>Jaunolaine*</c:v>
                </c:pt>
                <c:pt idx="2">
                  <c:v>Jaunpiebalga*</c:v>
                </c:pt>
                <c:pt idx="3">
                  <c:v>Kandava*</c:v>
                </c:pt>
                <c:pt idx="4">
                  <c:v>Kārsava*</c:v>
                </c:pt>
                <c:pt idx="5">
                  <c:v>Krāslava*</c:v>
                </c:pt>
                <c:pt idx="6">
                  <c:v>Ķegums*</c:v>
                </c:pt>
                <c:pt idx="7">
                  <c:v>Lielvārde*</c:v>
                </c:pt>
                <c:pt idx="8">
                  <c:v>Liepa*</c:v>
                </c:pt>
                <c:pt idx="9">
                  <c:v>Limbaži</c:v>
                </c:pt>
                <c:pt idx="10">
                  <c:v>Līvāni</c:v>
                </c:pt>
                <c:pt idx="11">
                  <c:v>Ludza</c:v>
                </c:pt>
                <c:pt idx="12">
                  <c:v>Malta*</c:v>
                </c:pt>
                <c:pt idx="13">
                  <c:v>Mālpils*</c:v>
                </c:pt>
                <c:pt idx="14">
                  <c:v>Ozolnieki*</c:v>
                </c:pt>
                <c:pt idx="15">
                  <c:v>Pļaviņas*</c:v>
                </c:pt>
              </c:strCache>
            </c:strRef>
          </c:cat>
          <c:val>
            <c:numRef>
              <c:f>'Dati grafikiem-2'!$L$22:$L$37</c:f>
              <c:numCache>
                <c:formatCode>General</c:formatCode>
                <c:ptCount val="16"/>
                <c:pt idx="0">
                  <c:v>122</c:v>
                </c:pt>
                <c:pt idx="1">
                  <c:v>221</c:v>
                </c:pt>
                <c:pt idx="2">
                  <c:v>350</c:v>
                </c:pt>
                <c:pt idx="3">
                  <c:v>606</c:v>
                </c:pt>
                <c:pt idx="4">
                  <c:v>52</c:v>
                </c:pt>
                <c:pt idx="5">
                  <c:v>1413</c:v>
                </c:pt>
                <c:pt idx="6">
                  <c:v>25</c:v>
                </c:pt>
                <c:pt idx="7">
                  <c:v>597</c:v>
                </c:pt>
                <c:pt idx="8">
                  <c:v>156</c:v>
                </c:pt>
                <c:pt idx="9">
                  <c:v>884</c:v>
                </c:pt>
                <c:pt idx="10">
                  <c:v>588</c:v>
                </c:pt>
                <c:pt idx="11">
                  <c:v>600</c:v>
                </c:pt>
                <c:pt idx="12">
                  <c:v>54</c:v>
                </c:pt>
                <c:pt idx="13">
                  <c:v>55</c:v>
                </c:pt>
                <c:pt idx="14">
                  <c:v>318</c:v>
                </c:pt>
                <c:pt idx="15">
                  <c:v>56</c:v>
                </c:pt>
              </c:numCache>
            </c:numRef>
          </c:val>
        </c:ser>
        <c:ser>
          <c:idx val="3"/>
          <c:order val="1"/>
          <c:tx>
            <c:v>2017. g. ĶSP slodze, kg/d</c:v>
          </c:tx>
          <c:spPr>
            <a:solidFill>
              <a:srgbClr val="FFC000"/>
            </a:solidFill>
          </c:spPr>
          <c:invertIfNegative val="0"/>
          <c:cat>
            <c:strRef>
              <c:f>'Dati grafikiem-1'!$C$22:$C$37</c:f>
              <c:strCache>
                <c:ptCount val="16"/>
                <c:pt idx="0">
                  <c:v>Īslīce*</c:v>
                </c:pt>
                <c:pt idx="1">
                  <c:v>Jaunolaine*</c:v>
                </c:pt>
                <c:pt idx="2">
                  <c:v>Jaunpiebalga*</c:v>
                </c:pt>
                <c:pt idx="3">
                  <c:v>Kandava*</c:v>
                </c:pt>
                <c:pt idx="4">
                  <c:v>Kārsava*</c:v>
                </c:pt>
                <c:pt idx="5">
                  <c:v>Krāslava*</c:v>
                </c:pt>
                <c:pt idx="6">
                  <c:v>Ķegums*</c:v>
                </c:pt>
                <c:pt idx="7">
                  <c:v>Lielvārde*</c:v>
                </c:pt>
                <c:pt idx="8">
                  <c:v>Liepa*</c:v>
                </c:pt>
                <c:pt idx="9">
                  <c:v>Limbaži</c:v>
                </c:pt>
                <c:pt idx="10">
                  <c:v>Līvāni</c:v>
                </c:pt>
                <c:pt idx="11">
                  <c:v>Ludza</c:v>
                </c:pt>
                <c:pt idx="12">
                  <c:v>Malta*</c:v>
                </c:pt>
                <c:pt idx="13">
                  <c:v>Mālpils*</c:v>
                </c:pt>
                <c:pt idx="14">
                  <c:v>Ozolnieki*</c:v>
                </c:pt>
                <c:pt idx="15">
                  <c:v>Pļaviņas*</c:v>
                </c:pt>
              </c:strCache>
            </c:strRef>
          </c:cat>
          <c:val>
            <c:numRef>
              <c:f>'Dati grafikiem-2'!$M$22:$M$37</c:f>
              <c:numCache>
                <c:formatCode>General</c:formatCode>
                <c:ptCount val="16"/>
                <c:pt idx="0">
                  <c:v>800</c:v>
                </c:pt>
                <c:pt idx="1">
                  <c:v>234</c:v>
                </c:pt>
                <c:pt idx="2">
                  <c:v>262</c:v>
                </c:pt>
                <c:pt idx="3">
                  <c:v>283</c:v>
                </c:pt>
                <c:pt idx="4">
                  <c:v>119</c:v>
                </c:pt>
                <c:pt idx="5">
                  <c:v>1682</c:v>
                </c:pt>
                <c:pt idx="6">
                  <c:v>28</c:v>
                </c:pt>
                <c:pt idx="7">
                  <c:v>1172</c:v>
                </c:pt>
                <c:pt idx="8">
                  <c:v>250</c:v>
                </c:pt>
                <c:pt idx="9">
                  <c:v>811</c:v>
                </c:pt>
                <c:pt idx="10">
                  <c:v>981</c:v>
                </c:pt>
                <c:pt idx="11">
                  <c:v>423</c:v>
                </c:pt>
                <c:pt idx="12">
                  <c:v>58</c:v>
                </c:pt>
                <c:pt idx="13">
                  <c:v>81</c:v>
                </c:pt>
                <c:pt idx="14">
                  <c:v>513</c:v>
                </c:pt>
                <c:pt idx="15">
                  <c:v>43</c:v>
                </c:pt>
              </c:numCache>
            </c:numRef>
          </c:val>
        </c:ser>
        <c:ser>
          <c:idx val="4"/>
          <c:order val="2"/>
          <c:tx>
            <c:v>Apsekošanas ĶSP slodze, kg/d</c:v>
          </c:tx>
          <c:spPr>
            <a:solidFill>
              <a:schemeClr val="tx2">
                <a:lumMod val="60000"/>
                <a:lumOff val="40000"/>
              </a:schemeClr>
            </a:solidFill>
          </c:spPr>
          <c:invertIfNegative val="0"/>
          <c:cat>
            <c:strRef>
              <c:f>'Dati grafikiem-1'!$C$22:$C$37</c:f>
              <c:strCache>
                <c:ptCount val="16"/>
                <c:pt idx="0">
                  <c:v>Īslīce*</c:v>
                </c:pt>
                <c:pt idx="1">
                  <c:v>Jaunolaine*</c:v>
                </c:pt>
                <c:pt idx="2">
                  <c:v>Jaunpiebalga*</c:v>
                </c:pt>
                <c:pt idx="3">
                  <c:v>Kandava*</c:v>
                </c:pt>
                <c:pt idx="4">
                  <c:v>Kārsava*</c:v>
                </c:pt>
                <c:pt idx="5">
                  <c:v>Krāslava*</c:v>
                </c:pt>
                <c:pt idx="6">
                  <c:v>Ķegums*</c:v>
                </c:pt>
                <c:pt idx="7">
                  <c:v>Lielvārde*</c:v>
                </c:pt>
                <c:pt idx="8">
                  <c:v>Liepa*</c:v>
                </c:pt>
                <c:pt idx="9">
                  <c:v>Limbaži</c:v>
                </c:pt>
                <c:pt idx="10">
                  <c:v>Līvāni</c:v>
                </c:pt>
                <c:pt idx="11">
                  <c:v>Ludza</c:v>
                </c:pt>
                <c:pt idx="12">
                  <c:v>Malta*</c:v>
                </c:pt>
                <c:pt idx="13">
                  <c:v>Mālpils*</c:v>
                </c:pt>
                <c:pt idx="14">
                  <c:v>Ozolnieki*</c:v>
                </c:pt>
                <c:pt idx="15">
                  <c:v>Pļaviņas*</c:v>
                </c:pt>
              </c:strCache>
            </c:strRef>
          </c:cat>
          <c:val>
            <c:numRef>
              <c:f>'Dati grafikiem-2'!$N$22:$N$37</c:f>
              <c:numCache>
                <c:formatCode>General</c:formatCode>
                <c:ptCount val="16"/>
                <c:pt idx="0">
                  <c:v>454</c:v>
                </c:pt>
                <c:pt idx="1">
                  <c:v>864</c:v>
                </c:pt>
                <c:pt idx="2">
                  <c:v>225</c:v>
                </c:pt>
                <c:pt idx="3">
                  <c:v>230</c:v>
                </c:pt>
                <c:pt idx="4">
                  <c:v>51</c:v>
                </c:pt>
                <c:pt idx="5">
                  <c:v>753</c:v>
                </c:pt>
                <c:pt idx="6">
                  <c:v>132</c:v>
                </c:pt>
                <c:pt idx="7">
                  <c:v>1150</c:v>
                </c:pt>
                <c:pt idx="8">
                  <c:v>257</c:v>
                </c:pt>
                <c:pt idx="9">
                  <c:v>1270</c:v>
                </c:pt>
                <c:pt idx="10">
                  <c:v>530</c:v>
                </c:pt>
                <c:pt idx="11">
                  <c:v>369</c:v>
                </c:pt>
                <c:pt idx="12">
                  <c:v>69</c:v>
                </c:pt>
                <c:pt idx="13">
                  <c:v>540</c:v>
                </c:pt>
                <c:pt idx="14">
                  <c:v>470</c:v>
                </c:pt>
                <c:pt idx="15">
                  <c:v>108</c:v>
                </c:pt>
              </c:numCache>
            </c:numRef>
          </c:val>
        </c:ser>
        <c:dLbls>
          <c:showLegendKey val="0"/>
          <c:showVal val="0"/>
          <c:showCatName val="0"/>
          <c:showSerName val="0"/>
          <c:showPercent val="0"/>
          <c:showBubbleSize val="0"/>
        </c:dLbls>
        <c:gapWidth val="150"/>
        <c:axId val="437173160"/>
        <c:axId val="437173552"/>
      </c:barChart>
      <c:catAx>
        <c:axId val="437173160"/>
        <c:scaling>
          <c:orientation val="minMax"/>
        </c:scaling>
        <c:delete val="0"/>
        <c:axPos val="b"/>
        <c:numFmt formatCode="General" sourceLinked="0"/>
        <c:majorTickMark val="out"/>
        <c:minorTickMark val="none"/>
        <c:tickLblPos val="nextTo"/>
        <c:crossAx val="437173552"/>
        <c:crosses val="autoZero"/>
        <c:auto val="1"/>
        <c:lblAlgn val="ctr"/>
        <c:lblOffset val="100"/>
        <c:noMultiLvlLbl val="0"/>
      </c:catAx>
      <c:valAx>
        <c:axId val="437173552"/>
        <c:scaling>
          <c:orientation val="minMax"/>
        </c:scaling>
        <c:delete val="0"/>
        <c:axPos val="l"/>
        <c:majorGridlines/>
        <c:numFmt formatCode="General" sourceLinked="1"/>
        <c:majorTickMark val="out"/>
        <c:minorTickMark val="none"/>
        <c:tickLblPos val="nextTo"/>
        <c:crossAx val="437173160"/>
        <c:crosses val="autoZero"/>
        <c:crossBetween val="between"/>
      </c:valAx>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239650010715515E-2"/>
          <c:y val="4.4532228188725126E-2"/>
          <c:w val="0.61063939924176147"/>
          <c:h val="0.74736874430316846"/>
        </c:manualLayout>
      </c:layout>
      <c:barChart>
        <c:barDir val="col"/>
        <c:grouping val="clustered"/>
        <c:varyColors val="0"/>
        <c:ser>
          <c:idx val="2"/>
          <c:order val="0"/>
          <c:tx>
            <c:v>2016. g. ĶSP slodze, kg/d</c:v>
          </c:tx>
          <c:spPr>
            <a:solidFill>
              <a:srgbClr val="FFC000"/>
            </a:solidFill>
          </c:spPr>
          <c:invertIfNegative val="0"/>
          <c:cat>
            <c:strRef>
              <c:f>'Dati grafikiem-1'!$C$38:$C$54</c:f>
              <c:strCache>
                <c:ptCount val="17"/>
                <c:pt idx="0">
                  <c:v>Preiļi</c:v>
                </c:pt>
                <c:pt idx="1">
                  <c:v>Priekule</c:v>
                </c:pt>
                <c:pt idx="2">
                  <c:v>Priekuļi*</c:v>
                </c:pt>
                <c:pt idx="3">
                  <c:v>Roja*</c:v>
                </c:pt>
                <c:pt idx="4">
                  <c:v>Rūjiena*</c:v>
                </c:pt>
                <c:pt idx="5">
                  <c:v>Salacgrīva*</c:v>
                </c:pt>
                <c:pt idx="6">
                  <c:v>Saulkrasti*</c:v>
                </c:pt>
                <c:pt idx="7">
                  <c:v>Skrīveri</c:v>
                </c:pt>
                <c:pt idx="8">
                  <c:v>Skrunda</c:v>
                </c:pt>
                <c:pt idx="9">
                  <c:v>Smiltene</c:v>
                </c:pt>
                <c:pt idx="10">
                  <c:v>Stende*</c:v>
                </c:pt>
                <c:pt idx="11">
                  <c:v>Ulbroka*</c:v>
                </c:pt>
                <c:pt idx="12">
                  <c:v>Valka</c:v>
                </c:pt>
                <c:pt idx="13">
                  <c:v>Vangaži*</c:v>
                </c:pt>
                <c:pt idx="14">
                  <c:v>Varakļāni</c:v>
                </c:pt>
                <c:pt idx="15">
                  <c:v>Vecumnieki*</c:v>
                </c:pt>
                <c:pt idx="16">
                  <c:v>Viļāni*</c:v>
                </c:pt>
              </c:strCache>
            </c:strRef>
          </c:cat>
          <c:val>
            <c:numRef>
              <c:f>'Dati grafikiem-2'!$L$38:$L$54</c:f>
              <c:numCache>
                <c:formatCode>General</c:formatCode>
                <c:ptCount val="17"/>
                <c:pt idx="0">
                  <c:v>524</c:v>
                </c:pt>
                <c:pt idx="1">
                  <c:v>573</c:v>
                </c:pt>
                <c:pt idx="2">
                  <c:v>0</c:v>
                </c:pt>
                <c:pt idx="3">
                  <c:v>379</c:v>
                </c:pt>
                <c:pt idx="4">
                  <c:v>160</c:v>
                </c:pt>
                <c:pt idx="5">
                  <c:v>627</c:v>
                </c:pt>
                <c:pt idx="6">
                  <c:v>220</c:v>
                </c:pt>
                <c:pt idx="7">
                  <c:v>35</c:v>
                </c:pt>
                <c:pt idx="8">
                  <c:v>108</c:v>
                </c:pt>
                <c:pt idx="9">
                  <c:v>409</c:v>
                </c:pt>
                <c:pt idx="10">
                  <c:v>71</c:v>
                </c:pt>
                <c:pt idx="11">
                  <c:v>279</c:v>
                </c:pt>
                <c:pt idx="12">
                  <c:v>385</c:v>
                </c:pt>
                <c:pt idx="13">
                  <c:v>256</c:v>
                </c:pt>
                <c:pt idx="14">
                  <c:v>121</c:v>
                </c:pt>
                <c:pt idx="15">
                  <c:v>96</c:v>
                </c:pt>
                <c:pt idx="16">
                  <c:v>72</c:v>
                </c:pt>
              </c:numCache>
            </c:numRef>
          </c:val>
        </c:ser>
        <c:ser>
          <c:idx val="3"/>
          <c:order val="1"/>
          <c:tx>
            <c:v>2017. g. ĶSP slodze, kg/d</c:v>
          </c:tx>
          <c:spPr>
            <a:solidFill>
              <a:srgbClr val="FFC000"/>
            </a:solidFill>
          </c:spPr>
          <c:invertIfNegative val="0"/>
          <c:cat>
            <c:strRef>
              <c:f>'Dati grafikiem-1'!$C$38:$C$54</c:f>
              <c:strCache>
                <c:ptCount val="17"/>
                <c:pt idx="0">
                  <c:v>Preiļi</c:v>
                </c:pt>
                <c:pt idx="1">
                  <c:v>Priekule</c:v>
                </c:pt>
                <c:pt idx="2">
                  <c:v>Priekuļi*</c:v>
                </c:pt>
                <c:pt idx="3">
                  <c:v>Roja*</c:v>
                </c:pt>
                <c:pt idx="4">
                  <c:v>Rūjiena*</c:v>
                </c:pt>
                <c:pt idx="5">
                  <c:v>Salacgrīva*</c:v>
                </c:pt>
                <c:pt idx="6">
                  <c:v>Saulkrasti*</c:v>
                </c:pt>
                <c:pt idx="7">
                  <c:v>Skrīveri</c:v>
                </c:pt>
                <c:pt idx="8">
                  <c:v>Skrunda</c:v>
                </c:pt>
                <c:pt idx="9">
                  <c:v>Smiltene</c:v>
                </c:pt>
                <c:pt idx="10">
                  <c:v>Stende*</c:v>
                </c:pt>
                <c:pt idx="11">
                  <c:v>Ulbroka*</c:v>
                </c:pt>
                <c:pt idx="12">
                  <c:v>Valka</c:v>
                </c:pt>
                <c:pt idx="13">
                  <c:v>Vangaži*</c:v>
                </c:pt>
                <c:pt idx="14">
                  <c:v>Varakļāni</c:v>
                </c:pt>
                <c:pt idx="15">
                  <c:v>Vecumnieki*</c:v>
                </c:pt>
                <c:pt idx="16">
                  <c:v>Viļāni*</c:v>
                </c:pt>
              </c:strCache>
            </c:strRef>
          </c:cat>
          <c:val>
            <c:numRef>
              <c:f>'Dati grafikiem-2'!$M$38:$M$54</c:f>
              <c:numCache>
                <c:formatCode>General</c:formatCode>
                <c:ptCount val="17"/>
                <c:pt idx="0">
                  <c:v>603</c:v>
                </c:pt>
                <c:pt idx="1">
                  <c:v>95</c:v>
                </c:pt>
                <c:pt idx="2">
                  <c:v>0</c:v>
                </c:pt>
                <c:pt idx="3">
                  <c:v>210</c:v>
                </c:pt>
                <c:pt idx="4">
                  <c:v>159</c:v>
                </c:pt>
                <c:pt idx="5">
                  <c:v>155</c:v>
                </c:pt>
                <c:pt idx="6">
                  <c:v>216</c:v>
                </c:pt>
                <c:pt idx="7">
                  <c:v>30</c:v>
                </c:pt>
                <c:pt idx="8">
                  <c:v>77</c:v>
                </c:pt>
                <c:pt idx="9">
                  <c:v>620</c:v>
                </c:pt>
                <c:pt idx="10">
                  <c:v>0</c:v>
                </c:pt>
                <c:pt idx="11">
                  <c:v>384</c:v>
                </c:pt>
                <c:pt idx="12">
                  <c:v>424</c:v>
                </c:pt>
                <c:pt idx="13">
                  <c:v>435</c:v>
                </c:pt>
                <c:pt idx="14">
                  <c:v>358</c:v>
                </c:pt>
                <c:pt idx="15">
                  <c:v>122</c:v>
                </c:pt>
                <c:pt idx="16">
                  <c:v>53</c:v>
                </c:pt>
              </c:numCache>
            </c:numRef>
          </c:val>
        </c:ser>
        <c:ser>
          <c:idx val="4"/>
          <c:order val="2"/>
          <c:tx>
            <c:v>Apsekošanas ĶSP slodze, kg/d</c:v>
          </c:tx>
          <c:spPr>
            <a:solidFill>
              <a:schemeClr val="tx2">
                <a:lumMod val="60000"/>
                <a:lumOff val="40000"/>
              </a:schemeClr>
            </a:solidFill>
          </c:spPr>
          <c:invertIfNegative val="0"/>
          <c:cat>
            <c:strRef>
              <c:f>'Dati grafikiem-1'!$C$38:$C$54</c:f>
              <c:strCache>
                <c:ptCount val="17"/>
                <c:pt idx="0">
                  <c:v>Preiļi</c:v>
                </c:pt>
                <c:pt idx="1">
                  <c:v>Priekule</c:v>
                </c:pt>
                <c:pt idx="2">
                  <c:v>Priekuļi*</c:v>
                </c:pt>
                <c:pt idx="3">
                  <c:v>Roja*</c:v>
                </c:pt>
                <c:pt idx="4">
                  <c:v>Rūjiena*</c:v>
                </c:pt>
                <c:pt idx="5">
                  <c:v>Salacgrīva*</c:v>
                </c:pt>
                <c:pt idx="6">
                  <c:v>Saulkrasti*</c:v>
                </c:pt>
                <c:pt idx="7">
                  <c:v>Skrīveri</c:v>
                </c:pt>
                <c:pt idx="8">
                  <c:v>Skrunda</c:v>
                </c:pt>
                <c:pt idx="9">
                  <c:v>Smiltene</c:v>
                </c:pt>
                <c:pt idx="10">
                  <c:v>Stende*</c:v>
                </c:pt>
                <c:pt idx="11">
                  <c:v>Ulbroka*</c:v>
                </c:pt>
                <c:pt idx="12">
                  <c:v>Valka</c:v>
                </c:pt>
                <c:pt idx="13">
                  <c:v>Vangaži*</c:v>
                </c:pt>
                <c:pt idx="14">
                  <c:v>Varakļāni</c:v>
                </c:pt>
                <c:pt idx="15">
                  <c:v>Vecumnieki*</c:v>
                </c:pt>
                <c:pt idx="16">
                  <c:v>Viļāni*</c:v>
                </c:pt>
              </c:strCache>
            </c:strRef>
          </c:cat>
          <c:val>
            <c:numRef>
              <c:f>'Dati grafikiem-2'!$N$38:$N$54</c:f>
              <c:numCache>
                <c:formatCode>General</c:formatCode>
                <c:ptCount val="17"/>
                <c:pt idx="0">
                  <c:v>485</c:v>
                </c:pt>
                <c:pt idx="1">
                  <c:v>122</c:v>
                </c:pt>
                <c:pt idx="2">
                  <c:v>0</c:v>
                </c:pt>
                <c:pt idx="3">
                  <c:v>585</c:v>
                </c:pt>
                <c:pt idx="4">
                  <c:v>150</c:v>
                </c:pt>
                <c:pt idx="5">
                  <c:v>78</c:v>
                </c:pt>
                <c:pt idx="6">
                  <c:v>516</c:v>
                </c:pt>
                <c:pt idx="7">
                  <c:v>162</c:v>
                </c:pt>
                <c:pt idx="8">
                  <c:v>94</c:v>
                </c:pt>
                <c:pt idx="9">
                  <c:v>742</c:v>
                </c:pt>
                <c:pt idx="10">
                  <c:v>55</c:v>
                </c:pt>
                <c:pt idx="11">
                  <c:v>338</c:v>
                </c:pt>
                <c:pt idx="12">
                  <c:v>333</c:v>
                </c:pt>
                <c:pt idx="13">
                  <c:v>705</c:v>
                </c:pt>
                <c:pt idx="14">
                  <c:v>130</c:v>
                </c:pt>
                <c:pt idx="15">
                  <c:v>154</c:v>
                </c:pt>
                <c:pt idx="16">
                  <c:v>243</c:v>
                </c:pt>
              </c:numCache>
            </c:numRef>
          </c:val>
        </c:ser>
        <c:dLbls>
          <c:showLegendKey val="0"/>
          <c:showVal val="0"/>
          <c:showCatName val="0"/>
          <c:showSerName val="0"/>
          <c:showPercent val="0"/>
          <c:showBubbleSize val="0"/>
        </c:dLbls>
        <c:gapWidth val="150"/>
        <c:axId val="437174336"/>
        <c:axId val="437174728"/>
      </c:barChart>
      <c:catAx>
        <c:axId val="437174336"/>
        <c:scaling>
          <c:orientation val="minMax"/>
        </c:scaling>
        <c:delete val="0"/>
        <c:axPos val="b"/>
        <c:numFmt formatCode="General" sourceLinked="0"/>
        <c:majorTickMark val="out"/>
        <c:minorTickMark val="none"/>
        <c:tickLblPos val="nextTo"/>
        <c:crossAx val="437174728"/>
        <c:crosses val="autoZero"/>
        <c:auto val="1"/>
        <c:lblAlgn val="ctr"/>
        <c:lblOffset val="100"/>
        <c:noMultiLvlLbl val="0"/>
      </c:catAx>
      <c:valAx>
        <c:axId val="437174728"/>
        <c:scaling>
          <c:orientation val="minMax"/>
        </c:scaling>
        <c:delete val="0"/>
        <c:axPos val="l"/>
        <c:majorGridlines/>
        <c:numFmt formatCode="General" sourceLinked="1"/>
        <c:majorTickMark val="out"/>
        <c:minorTickMark val="none"/>
        <c:tickLblPos val="nextTo"/>
        <c:crossAx val="43717433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239650010715515E-2"/>
          <c:y val="0.10480526426145134"/>
          <c:w val="0.59720782298046082"/>
          <c:h val="0.78935805783262469"/>
        </c:manualLayout>
      </c:layout>
      <c:barChart>
        <c:barDir val="col"/>
        <c:grouping val="clustered"/>
        <c:varyColors val="0"/>
        <c:ser>
          <c:idx val="0"/>
          <c:order val="0"/>
          <c:tx>
            <c:v>Projektētā slodze, m3/d</c:v>
          </c:tx>
          <c:invertIfNegative val="0"/>
          <c:cat>
            <c:strRef>
              <c:f>'Dati grafikiem-1'!$C$22:$C$37</c:f>
              <c:strCache>
                <c:ptCount val="16"/>
                <c:pt idx="0">
                  <c:v>Īslīce*</c:v>
                </c:pt>
                <c:pt idx="1">
                  <c:v>Jaunolaine*</c:v>
                </c:pt>
                <c:pt idx="2">
                  <c:v>Jaunpiebalga*</c:v>
                </c:pt>
                <c:pt idx="3">
                  <c:v>Kandava*</c:v>
                </c:pt>
                <c:pt idx="4">
                  <c:v>Kārsava*</c:v>
                </c:pt>
                <c:pt idx="5">
                  <c:v>Krāslava*</c:v>
                </c:pt>
                <c:pt idx="6">
                  <c:v>Ķegums*</c:v>
                </c:pt>
                <c:pt idx="7">
                  <c:v>Lielvārde*</c:v>
                </c:pt>
                <c:pt idx="8">
                  <c:v>Liepa*</c:v>
                </c:pt>
                <c:pt idx="9">
                  <c:v>Limbaži</c:v>
                </c:pt>
                <c:pt idx="10">
                  <c:v>Līvāni</c:v>
                </c:pt>
                <c:pt idx="11">
                  <c:v>Ludza</c:v>
                </c:pt>
                <c:pt idx="12">
                  <c:v>Malta*</c:v>
                </c:pt>
                <c:pt idx="13">
                  <c:v>Mālpils*</c:v>
                </c:pt>
                <c:pt idx="14">
                  <c:v>Ozolnieki*</c:v>
                </c:pt>
                <c:pt idx="15">
                  <c:v>Pļaviņas*</c:v>
                </c:pt>
              </c:strCache>
            </c:strRef>
          </c:cat>
          <c:val>
            <c:numRef>
              <c:f>'Dati grafikiem-1'!$D$22:$D$37</c:f>
              <c:numCache>
                <c:formatCode>General</c:formatCode>
                <c:ptCount val="16"/>
                <c:pt idx="0">
                  <c:v>772</c:v>
                </c:pt>
                <c:pt idx="1">
                  <c:v>611</c:v>
                </c:pt>
                <c:pt idx="2">
                  <c:v>450</c:v>
                </c:pt>
                <c:pt idx="3">
                  <c:v>800</c:v>
                </c:pt>
                <c:pt idx="4">
                  <c:v>400</c:v>
                </c:pt>
                <c:pt idx="5">
                  <c:v>2100</c:v>
                </c:pt>
                <c:pt idx="6">
                  <c:v>700</c:v>
                </c:pt>
                <c:pt idx="7">
                  <c:v>4200</c:v>
                </c:pt>
                <c:pt idx="8">
                  <c:v>1200</c:v>
                </c:pt>
                <c:pt idx="9">
                  <c:v>2500</c:v>
                </c:pt>
                <c:pt idx="10">
                  <c:v>3600</c:v>
                </c:pt>
                <c:pt idx="11">
                  <c:v>2800</c:v>
                </c:pt>
                <c:pt idx="12">
                  <c:v>200</c:v>
                </c:pt>
                <c:pt idx="13">
                  <c:v>1400</c:v>
                </c:pt>
                <c:pt idx="14">
                  <c:v>855</c:v>
                </c:pt>
                <c:pt idx="15">
                  <c:v>917</c:v>
                </c:pt>
              </c:numCache>
            </c:numRef>
          </c:val>
        </c:ser>
        <c:ser>
          <c:idx val="2"/>
          <c:order val="1"/>
          <c:tx>
            <c:v>2016. g. slodze, m3/d</c:v>
          </c:tx>
          <c:spPr>
            <a:solidFill>
              <a:srgbClr val="92D050"/>
            </a:solidFill>
          </c:spPr>
          <c:invertIfNegative val="0"/>
          <c:cat>
            <c:strRef>
              <c:f>'Dati grafikiem-1'!$C$22:$C$37</c:f>
              <c:strCache>
                <c:ptCount val="16"/>
                <c:pt idx="0">
                  <c:v>Īslīce*</c:v>
                </c:pt>
                <c:pt idx="1">
                  <c:v>Jaunolaine*</c:v>
                </c:pt>
                <c:pt idx="2">
                  <c:v>Jaunpiebalga*</c:v>
                </c:pt>
                <c:pt idx="3">
                  <c:v>Kandava*</c:v>
                </c:pt>
                <c:pt idx="4">
                  <c:v>Kārsava*</c:v>
                </c:pt>
                <c:pt idx="5">
                  <c:v>Krāslava*</c:v>
                </c:pt>
                <c:pt idx="6">
                  <c:v>Ķegums*</c:v>
                </c:pt>
                <c:pt idx="7">
                  <c:v>Lielvārde*</c:v>
                </c:pt>
                <c:pt idx="8">
                  <c:v>Liepa*</c:v>
                </c:pt>
                <c:pt idx="9">
                  <c:v>Limbaži</c:v>
                </c:pt>
                <c:pt idx="10">
                  <c:v>Līvāni</c:v>
                </c:pt>
                <c:pt idx="11">
                  <c:v>Ludza</c:v>
                </c:pt>
                <c:pt idx="12">
                  <c:v>Malta*</c:v>
                </c:pt>
                <c:pt idx="13">
                  <c:v>Mālpils*</c:v>
                </c:pt>
                <c:pt idx="14">
                  <c:v>Ozolnieki*</c:v>
                </c:pt>
                <c:pt idx="15">
                  <c:v>Pļaviņas*</c:v>
                </c:pt>
              </c:strCache>
            </c:strRef>
          </c:cat>
          <c:val>
            <c:numRef>
              <c:f>'Dati grafikiem-1'!$F$22:$F$37</c:f>
              <c:numCache>
                <c:formatCode>General</c:formatCode>
                <c:ptCount val="16"/>
                <c:pt idx="0">
                  <c:v>488</c:v>
                </c:pt>
                <c:pt idx="1">
                  <c:v>312</c:v>
                </c:pt>
                <c:pt idx="2">
                  <c:v>79</c:v>
                </c:pt>
                <c:pt idx="3">
                  <c:v>561</c:v>
                </c:pt>
                <c:pt idx="4">
                  <c:v>90</c:v>
                </c:pt>
                <c:pt idx="5">
                  <c:v>809</c:v>
                </c:pt>
                <c:pt idx="6">
                  <c:v>327</c:v>
                </c:pt>
                <c:pt idx="7">
                  <c:v>997</c:v>
                </c:pt>
                <c:pt idx="8">
                  <c:v>324</c:v>
                </c:pt>
                <c:pt idx="9">
                  <c:v>1388</c:v>
                </c:pt>
                <c:pt idx="10">
                  <c:v>1043</c:v>
                </c:pt>
                <c:pt idx="11">
                  <c:v>581</c:v>
                </c:pt>
                <c:pt idx="12">
                  <c:v>106</c:v>
                </c:pt>
                <c:pt idx="13">
                  <c:v>191</c:v>
                </c:pt>
                <c:pt idx="14">
                  <c:v>518</c:v>
                </c:pt>
                <c:pt idx="15">
                  <c:v>264</c:v>
                </c:pt>
              </c:numCache>
            </c:numRef>
          </c:val>
        </c:ser>
        <c:ser>
          <c:idx val="3"/>
          <c:order val="2"/>
          <c:tx>
            <c:v>2017. g. slodze, m3/d</c:v>
          </c:tx>
          <c:spPr>
            <a:solidFill>
              <a:srgbClr val="92D050"/>
            </a:solidFill>
          </c:spPr>
          <c:invertIfNegative val="0"/>
          <c:cat>
            <c:strRef>
              <c:f>'Dati grafikiem-1'!$C$22:$C$37</c:f>
              <c:strCache>
                <c:ptCount val="16"/>
                <c:pt idx="0">
                  <c:v>Īslīce*</c:v>
                </c:pt>
                <c:pt idx="1">
                  <c:v>Jaunolaine*</c:v>
                </c:pt>
                <c:pt idx="2">
                  <c:v>Jaunpiebalga*</c:v>
                </c:pt>
                <c:pt idx="3">
                  <c:v>Kandava*</c:v>
                </c:pt>
                <c:pt idx="4">
                  <c:v>Kārsava*</c:v>
                </c:pt>
                <c:pt idx="5">
                  <c:v>Krāslava*</c:v>
                </c:pt>
                <c:pt idx="6">
                  <c:v>Ķegums*</c:v>
                </c:pt>
                <c:pt idx="7">
                  <c:v>Lielvārde*</c:v>
                </c:pt>
                <c:pt idx="8">
                  <c:v>Liepa*</c:v>
                </c:pt>
                <c:pt idx="9">
                  <c:v>Limbaži</c:v>
                </c:pt>
                <c:pt idx="10">
                  <c:v>Līvāni</c:v>
                </c:pt>
                <c:pt idx="11">
                  <c:v>Ludza</c:v>
                </c:pt>
                <c:pt idx="12">
                  <c:v>Malta*</c:v>
                </c:pt>
                <c:pt idx="13">
                  <c:v>Mālpils*</c:v>
                </c:pt>
                <c:pt idx="14">
                  <c:v>Ozolnieki*</c:v>
                </c:pt>
                <c:pt idx="15">
                  <c:v>Pļaviņas*</c:v>
                </c:pt>
              </c:strCache>
            </c:strRef>
          </c:cat>
          <c:val>
            <c:numRef>
              <c:f>'Dati grafikiem-1'!$G$22:$G$37</c:f>
              <c:numCache>
                <c:formatCode>General</c:formatCode>
                <c:ptCount val="16"/>
                <c:pt idx="0">
                  <c:v>405</c:v>
                </c:pt>
                <c:pt idx="1">
                  <c:v>261</c:v>
                </c:pt>
                <c:pt idx="2">
                  <c:v>74</c:v>
                </c:pt>
                <c:pt idx="3">
                  <c:v>464</c:v>
                </c:pt>
                <c:pt idx="4">
                  <c:v>195</c:v>
                </c:pt>
                <c:pt idx="5">
                  <c:v>912</c:v>
                </c:pt>
                <c:pt idx="6">
                  <c:v>352</c:v>
                </c:pt>
                <c:pt idx="7">
                  <c:v>1019</c:v>
                </c:pt>
                <c:pt idx="8">
                  <c:v>377</c:v>
                </c:pt>
                <c:pt idx="9">
                  <c:v>1334</c:v>
                </c:pt>
                <c:pt idx="10">
                  <c:v>1308</c:v>
                </c:pt>
                <c:pt idx="11">
                  <c:v>685</c:v>
                </c:pt>
                <c:pt idx="12">
                  <c:v>106</c:v>
                </c:pt>
                <c:pt idx="13">
                  <c:v>178</c:v>
                </c:pt>
                <c:pt idx="14">
                  <c:v>502</c:v>
                </c:pt>
                <c:pt idx="15">
                  <c:v>300</c:v>
                </c:pt>
              </c:numCache>
            </c:numRef>
          </c:val>
        </c:ser>
        <c:ser>
          <c:idx val="4"/>
          <c:order val="3"/>
          <c:tx>
            <c:v>Sausā laika slodze 2018, m3/d</c:v>
          </c:tx>
          <c:spPr>
            <a:solidFill>
              <a:schemeClr val="accent6">
                <a:lumMod val="75000"/>
              </a:schemeClr>
            </a:solidFill>
          </c:spPr>
          <c:invertIfNegative val="0"/>
          <c:cat>
            <c:strRef>
              <c:f>'Dati grafikiem-1'!$C$22:$C$37</c:f>
              <c:strCache>
                <c:ptCount val="16"/>
                <c:pt idx="0">
                  <c:v>Īslīce*</c:v>
                </c:pt>
                <c:pt idx="1">
                  <c:v>Jaunolaine*</c:v>
                </c:pt>
                <c:pt idx="2">
                  <c:v>Jaunpiebalga*</c:v>
                </c:pt>
                <c:pt idx="3">
                  <c:v>Kandava*</c:v>
                </c:pt>
                <c:pt idx="4">
                  <c:v>Kārsava*</c:v>
                </c:pt>
                <c:pt idx="5">
                  <c:v>Krāslava*</c:v>
                </c:pt>
                <c:pt idx="6">
                  <c:v>Ķegums*</c:v>
                </c:pt>
                <c:pt idx="7">
                  <c:v>Lielvārde*</c:v>
                </c:pt>
                <c:pt idx="8">
                  <c:v>Liepa*</c:v>
                </c:pt>
                <c:pt idx="9">
                  <c:v>Limbaži</c:v>
                </c:pt>
                <c:pt idx="10">
                  <c:v>Līvāni</c:v>
                </c:pt>
                <c:pt idx="11">
                  <c:v>Ludza</c:v>
                </c:pt>
                <c:pt idx="12">
                  <c:v>Malta*</c:v>
                </c:pt>
                <c:pt idx="13">
                  <c:v>Mālpils*</c:v>
                </c:pt>
                <c:pt idx="14">
                  <c:v>Ozolnieki*</c:v>
                </c:pt>
                <c:pt idx="15">
                  <c:v>Pļaviņas*</c:v>
                </c:pt>
              </c:strCache>
            </c:strRef>
          </c:cat>
          <c:val>
            <c:numRef>
              <c:f>'Dati grafikiem-1'!$H$22:$H$37</c:f>
              <c:numCache>
                <c:formatCode>General</c:formatCode>
                <c:ptCount val="16"/>
                <c:pt idx="0">
                  <c:v>420</c:v>
                </c:pt>
                <c:pt idx="1">
                  <c:v>270</c:v>
                </c:pt>
                <c:pt idx="2">
                  <c:v>75</c:v>
                </c:pt>
                <c:pt idx="3">
                  <c:v>480</c:v>
                </c:pt>
                <c:pt idx="4">
                  <c:v>90</c:v>
                </c:pt>
                <c:pt idx="5">
                  <c:v>810</c:v>
                </c:pt>
                <c:pt idx="6">
                  <c:v>330</c:v>
                </c:pt>
                <c:pt idx="7">
                  <c:v>1000</c:v>
                </c:pt>
                <c:pt idx="8">
                  <c:v>330</c:v>
                </c:pt>
                <c:pt idx="9">
                  <c:v>1000</c:v>
                </c:pt>
                <c:pt idx="10">
                  <c:v>1000</c:v>
                </c:pt>
                <c:pt idx="11">
                  <c:v>450</c:v>
                </c:pt>
                <c:pt idx="12">
                  <c:v>110</c:v>
                </c:pt>
                <c:pt idx="13">
                  <c:v>180</c:v>
                </c:pt>
                <c:pt idx="14">
                  <c:v>500</c:v>
                </c:pt>
                <c:pt idx="15">
                  <c:v>270</c:v>
                </c:pt>
              </c:numCache>
            </c:numRef>
          </c:val>
        </c:ser>
        <c:dLbls>
          <c:showLegendKey val="0"/>
          <c:showVal val="0"/>
          <c:showCatName val="0"/>
          <c:showSerName val="0"/>
          <c:showPercent val="0"/>
          <c:showBubbleSize val="0"/>
        </c:dLbls>
        <c:gapWidth val="150"/>
        <c:axId val="522591048"/>
        <c:axId val="522590656"/>
      </c:barChart>
      <c:catAx>
        <c:axId val="522591048"/>
        <c:scaling>
          <c:orientation val="minMax"/>
        </c:scaling>
        <c:delete val="0"/>
        <c:axPos val="b"/>
        <c:numFmt formatCode="General" sourceLinked="0"/>
        <c:majorTickMark val="out"/>
        <c:minorTickMark val="none"/>
        <c:tickLblPos val="nextTo"/>
        <c:crossAx val="522590656"/>
        <c:crosses val="autoZero"/>
        <c:auto val="1"/>
        <c:lblAlgn val="ctr"/>
        <c:lblOffset val="100"/>
        <c:noMultiLvlLbl val="0"/>
      </c:catAx>
      <c:valAx>
        <c:axId val="522590656"/>
        <c:scaling>
          <c:orientation val="minMax"/>
        </c:scaling>
        <c:delete val="0"/>
        <c:axPos val="l"/>
        <c:majorGridlines/>
        <c:numFmt formatCode="General" sourceLinked="1"/>
        <c:majorTickMark val="out"/>
        <c:minorTickMark val="none"/>
        <c:tickLblPos val="nextTo"/>
        <c:crossAx val="52259104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239650010715515E-2"/>
          <c:y val="0.10480526426145134"/>
          <c:w val="0.58783628608923888"/>
          <c:h val="0.78935805783262469"/>
        </c:manualLayout>
      </c:layout>
      <c:barChart>
        <c:barDir val="col"/>
        <c:grouping val="clustered"/>
        <c:varyColors val="0"/>
        <c:ser>
          <c:idx val="0"/>
          <c:order val="0"/>
          <c:tx>
            <c:v>Projektētā slodze, m3/d</c:v>
          </c:tx>
          <c:invertIfNegative val="0"/>
          <c:cat>
            <c:strRef>
              <c:f>'Dati grafikiem-1'!$C$38:$C$54</c:f>
              <c:strCache>
                <c:ptCount val="17"/>
                <c:pt idx="0">
                  <c:v>Preiļi</c:v>
                </c:pt>
                <c:pt idx="1">
                  <c:v>Priekule</c:v>
                </c:pt>
                <c:pt idx="2">
                  <c:v>Priekuļi*</c:v>
                </c:pt>
                <c:pt idx="3">
                  <c:v>Roja*</c:v>
                </c:pt>
                <c:pt idx="4">
                  <c:v>Rūjiena*</c:v>
                </c:pt>
                <c:pt idx="5">
                  <c:v>Salacgrīva*</c:v>
                </c:pt>
                <c:pt idx="6">
                  <c:v>Saulkrasti*</c:v>
                </c:pt>
                <c:pt idx="7">
                  <c:v>Skrīveri</c:v>
                </c:pt>
                <c:pt idx="8">
                  <c:v>Skrunda</c:v>
                </c:pt>
                <c:pt idx="9">
                  <c:v>Smiltene</c:v>
                </c:pt>
                <c:pt idx="10">
                  <c:v>Stende*</c:v>
                </c:pt>
                <c:pt idx="11">
                  <c:v>Ulbroka*</c:v>
                </c:pt>
                <c:pt idx="12">
                  <c:v>Valka</c:v>
                </c:pt>
                <c:pt idx="13">
                  <c:v>Vangaži*</c:v>
                </c:pt>
                <c:pt idx="14">
                  <c:v>Varakļāni</c:v>
                </c:pt>
                <c:pt idx="15">
                  <c:v>Vecumnieki*</c:v>
                </c:pt>
                <c:pt idx="16">
                  <c:v>Viļāni*</c:v>
                </c:pt>
              </c:strCache>
            </c:strRef>
          </c:cat>
          <c:val>
            <c:numRef>
              <c:f>'Dati grafikiem-1'!$D$38:$D$54</c:f>
              <c:numCache>
                <c:formatCode>General</c:formatCode>
                <c:ptCount val="17"/>
                <c:pt idx="0">
                  <c:v>1900</c:v>
                </c:pt>
                <c:pt idx="1">
                  <c:v>622</c:v>
                </c:pt>
                <c:pt idx="2">
                  <c:v>0</c:v>
                </c:pt>
                <c:pt idx="3">
                  <c:v>1500</c:v>
                </c:pt>
                <c:pt idx="4">
                  <c:v>600</c:v>
                </c:pt>
                <c:pt idx="5">
                  <c:v>500</c:v>
                </c:pt>
                <c:pt idx="6">
                  <c:v>950</c:v>
                </c:pt>
                <c:pt idx="7">
                  <c:v>440</c:v>
                </c:pt>
                <c:pt idx="8">
                  <c:v>380</c:v>
                </c:pt>
                <c:pt idx="9">
                  <c:v>2100</c:v>
                </c:pt>
                <c:pt idx="10">
                  <c:v>200</c:v>
                </c:pt>
                <c:pt idx="11">
                  <c:v>744</c:v>
                </c:pt>
                <c:pt idx="12">
                  <c:v>2000</c:v>
                </c:pt>
                <c:pt idx="13">
                  <c:v>1500</c:v>
                </c:pt>
                <c:pt idx="14">
                  <c:v>400</c:v>
                </c:pt>
                <c:pt idx="15">
                  <c:v>360</c:v>
                </c:pt>
                <c:pt idx="16">
                  <c:v>2700</c:v>
                </c:pt>
              </c:numCache>
            </c:numRef>
          </c:val>
        </c:ser>
        <c:ser>
          <c:idx val="2"/>
          <c:order val="1"/>
          <c:tx>
            <c:v>2016. g. slodze, m3/d</c:v>
          </c:tx>
          <c:spPr>
            <a:solidFill>
              <a:srgbClr val="92D050"/>
            </a:solidFill>
          </c:spPr>
          <c:invertIfNegative val="0"/>
          <c:cat>
            <c:strRef>
              <c:f>'Dati grafikiem-1'!$C$38:$C$54</c:f>
              <c:strCache>
                <c:ptCount val="17"/>
                <c:pt idx="0">
                  <c:v>Preiļi</c:v>
                </c:pt>
                <c:pt idx="1">
                  <c:v>Priekule</c:v>
                </c:pt>
                <c:pt idx="2">
                  <c:v>Priekuļi*</c:v>
                </c:pt>
                <c:pt idx="3">
                  <c:v>Roja*</c:v>
                </c:pt>
                <c:pt idx="4">
                  <c:v>Rūjiena*</c:v>
                </c:pt>
                <c:pt idx="5">
                  <c:v>Salacgrīva*</c:v>
                </c:pt>
                <c:pt idx="6">
                  <c:v>Saulkrasti*</c:v>
                </c:pt>
                <c:pt idx="7">
                  <c:v>Skrīveri</c:v>
                </c:pt>
                <c:pt idx="8">
                  <c:v>Skrunda</c:v>
                </c:pt>
                <c:pt idx="9">
                  <c:v>Smiltene</c:v>
                </c:pt>
                <c:pt idx="10">
                  <c:v>Stende*</c:v>
                </c:pt>
                <c:pt idx="11">
                  <c:v>Ulbroka*</c:v>
                </c:pt>
                <c:pt idx="12">
                  <c:v>Valka</c:v>
                </c:pt>
                <c:pt idx="13">
                  <c:v>Vangaži*</c:v>
                </c:pt>
                <c:pt idx="14">
                  <c:v>Varakļāni</c:v>
                </c:pt>
                <c:pt idx="15">
                  <c:v>Vecumnieki*</c:v>
                </c:pt>
                <c:pt idx="16">
                  <c:v>Viļāni*</c:v>
                </c:pt>
              </c:strCache>
            </c:strRef>
          </c:cat>
          <c:val>
            <c:numRef>
              <c:f>'Dati grafikiem-1'!$F$38:$F$54</c:f>
              <c:numCache>
                <c:formatCode>General</c:formatCode>
                <c:ptCount val="17"/>
                <c:pt idx="0">
                  <c:v>966</c:v>
                </c:pt>
                <c:pt idx="1">
                  <c:v>192</c:v>
                </c:pt>
                <c:pt idx="2">
                  <c:v>0</c:v>
                </c:pt>
                <c:pt idx="3">
                  <c:v>336</c:v>
                </c:pt>
                <c:pt idx="4">
                  <c:v>252</c:v>
                </c:pt>
                <c:pt idx="5">
                  <c:v>269</c:v>
                </c:pt>
                <c:pt idx="6">
                  <c:v>427</c:v>
                </c:pt>
                <c:pt idx="7">
                  <c:v>81</c:v>
                </c:pt>
                <c:pt idx="8">
                  <c:v>200</c:v>
                </c:pt>
                <c:pt idx="9">
                  <c:v>768</c:v>
                </c:pt>
                <c:pt idx="10">
                  <c:v>60</c:v>
                </c:pt>
                <c:pt idx="11">
                  <c:v>434</c:v>
                </c:pt>
                <c:pt idx="12">
                  <c:v>917</c:v>
                </c:pt>
                <c:pt idx="13">
                  <c:v>430</c:v>
                </c:pt>
                <c:pt idx="14">
                  <c:v>137</c:v>
                </c:pt>
                <c:pt idx="15">
                  <c:v>160</c:v>
                </c:pt>
                <c:pt idx="16">
                  <c:v>213</c:v>
                </c:pt>
              </c:numCache>
            </c:numRef>
          </c:val>
        </c:ser>
        <c:ser>
          <c:idx val="3"/>
          <c:order val="2"/>
          <c:tx>
            <c:v>2017. g. slodze, m3/d</c:v>
          </c:tx>
          <c:spPr>
            <a:solidFill>
              <a:srgbClr val="92D050"/>
            </a:solidFill>
          </c:spPr>
          <c:invertIfNegative val="0"/>
          <c:cat>
            <c:strRef>
              <c:f>'Dati grafikiem-1'!$C$38:$C$54</c:f>
              <c:strCache>
                <c:ptCount val="17"/>
                <c:pt idx="0">
                  <c:v>Preiļi</c:v>
                </c:pt>
                <c:pt idx="1">
                  <c:v>Priekule</c:v>
                </c:pt>
                <c:pt idx="2">
                  <c:v>Priekuļi*</c:v>
                </c:pt>
                <c:pt idx="3">
                  <c:v>Roja*</c:v>
                </c:pt>
                <c:pt idx="4">
                  <c:v>Rūjiena*</c:v>
                </c:pt>
                <c:pt idx="5">
                  <c:v>Salacgrīva*</c:v>
                </c:pt>
                <c:pt idx="6">
                  <c:v>Saulkrasti*</c:v>
                </c:pt>
                <c:pt idx="7">
                  <c:v>Skrīveri</c:v>
                </c:pt>
                <c:pt idx="8">
                  <c:v>Skrunda</c:v>
                </c:pt>
                <c:pt idx="9">
                  <c:v>Smiltene</c:v>
                </c:pt>
                <c:pt idx="10">
                  <c:v>Stende*</c:v>
                </c:pt>
                <c:pt idx="11">
                  <c:v>Ulbroka*</c:v>
                </c:pt>
                <c:pt idx="12">
                  <c:v>Valka</c:v>
                </c:pt>
                <c:pt idx="13">
                  <c:v>Vangaži*</c:v>
                </c:pt>
                <c:pt idx="14">
                  <c:v>Varakļāni</c:v>
                </c:pt>
                <c:pt idx="15">
                  <c:v>Vecumnieki*</c:v>
                </c:pt>
                <c:pt idx="16">
                  <c:v>Viļāni*</c:v>
                </c:pt>
              </c:strCache>
            </c:strRef>
          </c:cat>
          <c:val>
            <c:numRef>
              <c:f>'Dati grafikiem-1'!$G$38:$G$54</c:f>
              <c:numCache>
                <c:formatCode>General</c:formatCode>
                <c:ptCount val="17"/>
                <c:pt idx="0">
                  <c:v>1409</c:v>
                </c:pt>
                <c:pt idx="1">
                  <c:v>291</c:v>
                </c:pt>
                <c:pt idx="2">
                  <c:v>0</c:v>
                </c:pt>
                <c:pt idx="3">
                  <c:v>343</c:v>
                </c:pt>
                <c:pt idx="4">
                  <c:v>243</c:v>
                </c:pt>
                <c:pt idx="5">
                  <c:v>272</c:v>
                </c:pt>
                <c:pt idx="6">
                  <c:v>505</c:v>
                </c:pt>
                <c:pt idx="7">
                  <c:v>90</c:v>
                </c:pt>
                <c:pt idx="8">
                  <c:v>216</c:v>
                </c:pt>
                <c:pt idx="9">
                  <c:v>826</c:v>
                </c:pt>
                <c:pt idx="10">
                  <c:v>0</c:v>
                </c:pt>
                <c:pt idx="11">
                  <c:v>373</c:v>
                </c:pt>
                <c:pt idx="12">
                  <c:v>970</c:v>
                </c:pt>
                <c:pt idx="13">
                  <c:v>599</c:v>
                </c:pt>
                <c:pt idx="14">
                  <c:v>323</c:v>
                </c:pt>
                <c:pt idx="15">
                  <c:v>163</c:v>
                </c:pt>
                <c:pt idx="16">
                  <c:v>178</c:v>
                </c:pt>
              </c:numCache>
            </c:numRef>
          </c:val>
        </c:ser>
        <c:ser>
          <c:idx val="4"/>
          <c:order val="3"/>
          <c:tx>
            <c:v>Sausā laika slodze 2018, m3/d</c:v>
          </c:tx>
          <c:spPr>
            <a:solidFill>
              <a:schemeClr val="accent6">
                <a:lumMod val="75000"/>
              </a:schemeClr>
            </a:solidFill>
          </c:spPr>
          <c:invertIfNegative val="0"/>
          <c:cat>
            <c:strRef>
              <c:f>'Dati grafikiem-1'!$C$38:$C$54</c:f>
              <c:strCache>
                <c:ptCount val="17"/>
                <c:pt idx="0">
                  <c:v>Preiļi</c:v>
                </c:pt>
                <c:pt idx="1">
                  <c:v>Priekule</c:v>
                </c:pt>
                <c:pt idx="2">
                  <c:v>Priekuļi*</c:v>
                </c:pt>
                <c:pt idx="3">
                  <c:v>Roja*</c:v>
                </c:pt>
                <c:pt idx="4">
                  <c:v>Rūjiena*</c:v>
                </c:pt>
                <c:pt idx="5">
                  <c:v>Salacgrīva*</c:v>
                </c:pt>
                <c:pt idx="6">
                  <c:v>Saulkrasti*</c:v>
                </c:pt>
                <c:pt idx="7">
                  <c:v>Skrīveri</c:v>
                </c:pt>
                <c:pt idx="8">
                  <c:v>Skrunda</c:v>
                </c:pt>
                <c:pt idx="9">
                  <c:v>Smiltene</c:v>
                </c:pt>
                <c:pt idx="10">
                  <c:v>Stende*</c:v>
                </c:pt>
                <c:pt idx="11">
                  <c:v>Ulbroka*</c:v>
                </c:pt>
                <c:pt idx="12">
                  <c:v>Valka</c:v>
                </c:pt>
                <c:pt idx="13">
                  <c:v>Vangaži*</c:v>
                </c:pt>
                <c:pt idx="14">
                  <c:v>Varakļāni</c:v>
                </c:pt>
                <c:pt idx="15">
                  <c:v>Vecumnieki*</c:v>
                </c:pt>
                <c:pt idx="16">
                  <c:v>Viļāni*</c:v>
                </c:pt>
              </c:strCache>
            </c:strRef>
          </c:cat>
          <c:val>
            <c:numRef>
              <c:f>'Dati grafikiem-1'!$H$38:$H$54</c:f>
              <c:numCache>
                <c:formatCode>General</c:formatCode>
                <c:ptCount val="17"/>
                <c:pt idx="0">
                  <c:v>950</c:v>
                </c:pt>
                <c:pt idx="1">
                  <c:v>110</c:v>
                </c:pt>
                <c:pt idx="2">
                  <c:v>0</c:v>
                </c:pt>
                <c:pt idx="3">
                  <c:v>340</c:v>
                </c:pt>
                <c:pt idx="4">
                  <c:v>250</c:v>
                </c:pt>
                <c:pt idx="5">
                  <c:v>270</c:v>
                </c:pt>
                <c:pt idx="6">
                  <c:v>430</c:v>
                </c:pt>
                <c:pt idx="7">
                  <c:v>85</c:v>
                </c:pt>
                <c:pt idx="8">
                  <c:v>200</c:v>
                </c:pt>
                <c:pt idx="9">
                  <c:v>700</c:v>
                </c:pt>
                <c:pt idx="10">
                  <c:v>60</c:v>
                </c:pt>
                <c:pt idx="11">
                  <c:v>380</c:v>
                </c:pt>
                <c:pt idx="12">
                  <c:v>950</c:v>
                </c:pt>
                <c:pt idx="13">
                  <c:v>430</c:v>
                </c:pt>
                <c:pt idx="14">
                  <c:v>140</c:v>
                </c:pt>
                <c:pt idx="15">
                  <c:v>160</c:v>
                </c:pt>
                <c:pt idx="16">
                  <c:v>215</c:v>
                </c:pt>
              </c:numCache>
            </c:numRef>
          </c:val>
        </c:ser>
        <c:dLbls>
          <c:showLegendKey val="0"/>
          <c:showVal val="0"/>
          <c:showCatName val="0"/>
          <c:showSerName val="0"/>
          <c:showPercent val="0"/>
          <c:showBubbleSize val="0"/>
        </c:dLbls>
        <c:gapWidth val="150"/>
        <c:axId val="522591440"/>
        <c:axId val="522589480"/>
      </c:barChart>
      <c:catAx>
        <c:axId val="522591440"/>
        <c:scaling>
          <c:orientation val="minMax"/>
        </c:scaling>
        <c:delete val="0"/>
        <c:axPos val="b"/>
        <c:numFmt formatCode="General" sourceLinked="0"/>
        <c:majorTickMark val="out"/>
        <c:minorTickMark val="none"/>
        <c:tickLblPos val="nextTo"/>
        <c:crossAx val="522589480"/>
        <c:crosses val="autoZero"/>
        <c:auto val="1"/>
        <c:lblAlgn val="ctr"/>
        <c:lblOffset val="100"/>
        <c:noMultiLvlLbl val="0"/>
      </c:catAx>
      <c:valAx>
        <c:axId val="522589480"/>
        <c:scaling>
          <c:orientation val="minMax"/>
        </c:scaling>
        <c:delete val="0"/>
        <c:axPos val="l"/>
        <c:majorGridlines/>
        <c:numFmt formatCode="General" sourceLinked="1"/>
        <c:majorTickMark val="out"/>
        <c:minorTickMark val="none"/>
        <c:tickLblPos val="nextTo"/>
        <c:crossAx val="52259144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239650010715515E-2"/>
          <c:y val="3.7441286866264564E-2"/>
          <c:w val="0.60925707203266255"/>
          <c:h val="0.78287733090268519"/>
        </c:manualLayout>
      </c:layout>
      <c:barChart>
        <c:barDir val="col"/>
        <c:grouping val="clustered"/>
        <c:varyColors val="0"/>
        <c:ser>
          <c:idx val="0"/>
          <c:order val="0"/>
          <c:tx>
            <c:v>Projektētā plūsma uz 1 cilvēku, m3/d</c:v>
          </c:tx>
          <c:invertIfNegative val="0"/>
          <c:cat>
            <c:strRef>
              <c:f>'Dati grafikiem-1'!$C$6:$C$21</c:f>
              <c:strCache>
                <c:ptCount val="16"/>
                <c:pt idx="0">
                  <c:v>Aizpute</c:v>
                </c:pt>
                <c:pt idx="1">
                  <c:v>Alūksne*</c:v>
                </c:pt>
                <c:pt idx="2">
                  <c:v>Auce</c:v>
                </c:pt>
                <c:pt idx="3">
                  <c:v>Babīte</c:v>
                </c:pt>
                <c:pt idx="4">
                  <c:v>Baldone</c:v>
                </c:pt>
                <c:pt idx="5">
                  <c:v>Baloži</c:v>
                </c:pt>
                <c:pt idx="6">
                  <c:v>Balvi</c:v>
                </c:pt>
                <c:pt idx="7">
                  <c:v>Brocēni*</c:v>
                </c:pt>
                <c:pt idx="8">
                  <c:v>Carnikava</c:v>
                </c:pt>
                <c:pt idx="9">
                  <c:v>Dagda</c:v>
                </c:pt>
                <c:pt idx="10">
                  <c:v>Dundaga*</c:v>
                </c:pt>
                <c:pt idx="11">
                  <c:v>Ērgļi*</c:v>
                </c:pt>
                <c:pt idx="12">
                  <c:v>Grobiņa</c:v>
                </c:pt>
                <c:pt idx="13">
                  <c:v>Iecava*</c:v>
                </c:pt>
                <c:pt idx="14">
                  <c:v>Ikšķile</c:v>
                </c:pt>
                <c:pt idx="15">
                  <c:v>Ilūkste</c:v>
                </c:pt>
              </c:strCache>
            </c:strRef>
          </c:cat>
          <c:val>
            <c:numRef>
              <c:f>'Dati grafikiem-3'!$J$6:$J$21</c:f>
              <c:numCache>
                <c:formatCode>General</c:formatCode>
                <c:ptCount val="16"/>
                <c:pt idx="0">
                  <c:v>0.22</c:v>
                </c:pt>
                <c:pt idx="1">
                  <c:v>0.158</c:v>
                </c:pt>
                <c:pt idx="2">
                  <c:v>0.16400000000000001</c:v>
                </c:pt>
                <c:pt idx="3">
                  <c:v>0.17799999999999999</c:v>
                </c:pt>
                <c:pt idx="4">
                  <c:v>0.23499999999999999</c:v>
                </c:pt>
                <c:pt idx="5">
                  <c:v>0.21</c:v>
                </c:pt>
                <c:pt idx="6">
                  <c:v>0.17</c:v>
                </c:pt>
                <c:pt idx="7">
                  <c:v>0</c:v>
                </c:pt>
                <c:pt idx="8">
                  <c:v>0.35599999999999998</c:v>
                </c:pt>
                <c:pt idx="9">
                  <c:v>0.35</c:v>
                </c:pt>
                <c:pt idx="10">
                  <c:v>0.65</c:v>
                </c:pt>
                <c:pt idx="11">
                  <c:v>0.121</c:v>
                </c:pt>
                <c:pt idx="12">
                  <c:v>0.71699999999999997</c:v>
                </c:pt>
                <c:pt idx="13">
                  <c:v>0.19400000000000001</c:v>
                </c:pt>
                <c:pt idx="14">
                  <c:v>0.16300000000000001</c:v>
                </c:pt>
                <c:pt idx="15">
                  <c:v>0.192</c:v>
                </c:pt>
              </c:numCache>
            </c:numRef>
          </c:val>
        </c:ser>
        <c:ser>
          <c:idx val="2"/>
          <c:order val="1"/>
          <c:tx>
            <c:v>2016. g.plūsma uz 1 cilvēku, m3/d</c:v>
          </c:tx>
          <c:spPr>
            <a:solidFill>
              <a:srgbClr val="92D050"/>
            </a:solidFill>
          </c:spPr>
          <c:invertIfNegative val="0"/>
          <c:cat>
            <c:strRef>
              <c:f>'Dati grafikiem-1'!$C$6:$C$21</c:f>
              <c:strCache>
                <c:ptCount val="16"/>
                <c:pt idx="0">
                  <c:v>Aizpute</c:v>
                </c:pt>
                <c:pt idx="1">
                  <c:v>Alūksne*</c:v>
                </c:pt>
                <c:pt idx="2">
                  <c:v>Auce</c:v>
                </c:pt>
                <c:pt idx="3">
                  <c:v>Babīte</c:v>
                </c:pt>
                <c:pt idx="4">
                  <c:v>Baldone</c:v>
                </c:pt>
                <c:pt idx="5">
                  <c:v>Baloži</c:v>
                </c:pt>
                <c:pt idx="6">
                  <c:v>Balvi</c:v>
                </c:pt>
                <c:pt idx="7">
                  <c:v>Brocēni*</c:v>
                </c:pt>
                <c:pt idx="8">
                  <c:v>Carnikava</c:v>
                </c:pt>
                <c:pt idx="9">
                  <c:v>Dagda</c:v>
                </c:pt>
                <c:pt idx="10">
                  <c:v>Dundaga*</c:v>
                </c:pt>
                <c:pt idx="11">
                  <c:v>Ērgļi*</c:v>
                </c:pt>
                <c:pt idx="12">
                  <c:v>Grobiņa</c:v>
                </c:pt>
                <c:pt idx="13">
                  <c:v>Iecava*</c:v>
                </c:pt>
                <c:pt idx="14">
                  <c:v>Ikšķile</c:v>
                </c:pt>
                <c:pt idx="15">
                  <c:v>Ilūkste</c:v>
                </c:pt>
              </c:strCache>
            </c:strRef>
          </c:cat>
          <c:val>
            <c:numRef>
              <c:f>'Dati grafikiem-3'!$K$6:$K$21</c:f>
              <c:numCache>
                <c:formatCode>General</c:formatCode>
                <c:ptCount val="16"/>
                <c:pt idx="0">
                  <c:v>0.13800000000000001</c:v>
                </c:pt>
                <c:pt idx="1">
                  <c:v>0.156</c:v>
                </c:pt>
                <c:pt idx="2">
                  <c:v>7.3999999999999996E-2</c:v>
                </c:pt>
                <c:pt idx="3">
                  <c:v>0.16800000000000001</c:v>
                </c:pt>
                <c:pt idx="4">
                  <c:v>0.13100000000000001</c:v>
                </c:pt>
                <c:pt idx="5">
                  <c:v>0.128</c:v>
                </c:pt>
                <c:pt idx="6">
                  <c:v>0.20899999999999999</c:v>
                </c:pt>
                <c:pt idx="7">
                  <c:v>0.10299999999999999</c:v>
                </c:pt>
                <c:pt idx="8">
                  <c:v>0.158</c:v>
                </c:pt>
                <c:pt idx="9">
                  <c:v>0.112</c:v>
                </c:pt>
                <c:pt idx="10">
                  <c:v>8.4000000000000005E-2</c:v>
                </c:pt>
                <c:pt idx="11">
                  <c:v>0.155</c:v>
                </c:pt>
                <c:pt idx="12">
                  <c:v>0.14199999999999999</c:v>
                </c:pt>
                <c:pt idx="13">
                  <c:v>0.151</c:v>
                </c:pt>
                <c:pt idx="14">
                  <c:v>0.11700000000000001</c:v>
                </c:pt>
                <c:pt idx="15">
                  <c:v>0.16400000000000001</c:v>
                </c:pt>
              </c:numCache>
            </c:numRef>
          </c:val>
        </c:ser>
        <c:ser>
          <c:idx val="3"/>
          <c:order val="2"/>
          <c:tx>
            <c:v>2017. g. Plūsma uz 1 cilvēku, m3/d</c:v>
          </c:tx>
          <c:spPr>
            <a:solidFill>
              <a:srgbClr val="92D050"/>
            </a:solidFill>
          </c:spPr>
          <c:invertIfNegative val="0"/>
          <c:cat>
            <c:strRef>
              <c:f>'Dati grafikiem-1'!$C$6:$C$21</c:f>
              <c:strCache>
                <c:ptCount val="16"/>
                <c:pt idx="0">
                  <c:v>Aizpute</c:v>
                </c:pt>
                <c:pt idx="1">
                  <c:v>Alūksne*</c:v>
                </c:pt>
                <c:pt idx="2">
                  <c:v>Auce</c:v>
                </c:pt>
                <c:pt idx="3">
                  <c:v>Babīte</c:v>
                </c:pt>
                <c:pt idx="4">
                  <c:v>Baldone</c:v>
                </c:pt>
                <c:pt idx="5">
                  <c:v>Baloži</c:v>
                </c:pt>
                <c:pt idx="6">
                  <c:v>Balvi</c:v>
                </c:pt>
                <c:pt idx="7">
                  <c:v>Brocēni*</c:v>
                </c:pt>
                <c:pt idx="8">
                  <c:v>Carnikava</c:v>
                </c:pt>
                <c:pt idx="9">
                  <c:v>Dagda</c:v>
                </c:pt>
                <c:pt idx="10">
                  <c:v>Dundaga*</c:v>
                </c:pt>
                <c:pt idx="11">
                  <c:v>Ērgļi*</c:v>
                </c:pt>
                <c:pt idx="12">
                  <c:v>Grobiņa</c:v>
                </c:pt>
                <c:pt idx="13">
                  <c:v>Iecava*</c:v>
                </c:pt>
                <c:pt idx="14">
                  <c:v>Ikšķile</c:v>
                </c:pt>
                <c:pt idx="15">
                  <c:v>Ilūkste</c:v>
                </c:pt>
              </c:strCache>
            </c:strRef>
          </c:cat>
          <c:val>
            <c:numRef>
              <c:f>'Dati grafikiem-3'!$L$6:$L$21</c:f>
              <c:numCache>
                <c:formatCode>General</c:formatCode>
                <c:ptCount val="16"/>
                <c:pt idx="0">
                  <c:v>0.23200000000000001</c:v>
                </c:pt>
                <c:pt idx="1">
                  <c:v>0.192</c:v>
                </c:pt>
                <c:pt idx="2">
                  <c:v>8.5000000000000006E-2</c:v>
                </c:pt>
                <c:pt idx="3">
                  <c:v>0.17</c:v>
                </c:pt>
                <c:pt idx="4">
                  <c:v>0.14099999999999999</c:v>
                </c:pt>
                <c:pt idx="5">
                  <c:v>0.153</c:v>
                </c:pt>
                <c:pt idx="6">
                  <c:v>0.23200000000000001</c:v>
                </c:pt>
                <c:pt idx="7">
                  <c:v>0.12</c:v>
                </c:pt>
                <c:pt idx="8">
                  <c:v>0.14499999999999999</c:v>
                </c:pt>
                <c:pt idx="9">
                  <c:v>0.16400000000000001</c:v>
                </c:pt>
                <c:pt idx="10">
                  <c:v>0.107</c:v>
                </c:pt>
                <c:pt idx="11">
                  <c:v>0.128</c:v>
                </c:pt>
                <c:pt idx="12">
                  <c:v>0.153</c:v>
                </c:pt>
                <c:pt idx="13">
                  <c:v>0.125</c:v>
                </c:pt>
                <c:pt idx="14">
                  <c:v>0.12</c:v>
                </c:pt>
                <c:pt idx="15">
                  <c:v>0.23400000000000001</c:v>
                </c:pt>
              </c:numCache>
            </c:numRef>
          </c:val>
        </c:ser>
        <c:ser>
          <c:idx val="4"/>
          <c:order val="3"/>
          <c:tx>
            <c:v>Sausā laika plūsma uz 1 cilvēku, m3/d</c:v>
          </c:tx>
          <c:spPr>
            <a:solidFill>
              <a:schemeClr val="accent6">
                <a:lumMod val="75000"/>
              </a:schemeClr>
            </a:solidFill>
          </c:spPr>
          <c:invertIfNegative val="0"/>
          <c:cat>
            <c:strRef>
              <c:f>'Dati grafikiem-1'!$C$6:$C$21</c:f>
              <c:strCache>
                <c:ptCount val="16"/>
                <c:pt idx="0">
                  <c:v>Aizpute</c:v>
                </c:pt>
                <c:pt idx="1">
                  <c:v>Alūksne*</c:v>
                </c:pt>
                <c:pt idx="2">
                  <c:v>Auce</c:v>
                </c:pt>
                <c:pt idx="3">
                  <c:v>Babīte</c:v>
                </c:pt>
                <c:pt idx="4">
                  <c:v>Baldone</c:v>
                </c:pt>
                <c:pt idx="5">
                  <c:v>Baloži</c:v>
                </c:pt>
                <c:pt idx="6">
                  <c:v>Balvi</c:v>
                </c:pt>
                <c:pt idx="7">
                  <c:v>Brocēni*</c:v>
                </c:pt>
                <c:pt idx="8">
                  <c:v>Carnikava</c:v>
                </c:pt>
                <c:pt idx="9">
                  <c:v>Dagda</c:v>
                </c:pt>
                <c:pt idx="10">
                  <c:v>Dundaga*</c:v>
                </c:pt>
                <c:pt idx="11">
                  <c:v>Ērgļi*</c:v>
                </c:pt>
                <c:pt idx="12">
                  <c:v>Grobiņa</c:v>
                </c:pt>
                <c:pt idx="13">
                  <c:v>Iecava*</c:v>
                </c:pt>
                <c:pt idx="14">
                  <c:v>Ikšķile</c:v>
                </c:pt>
                <c:pt idx="15">
                  <c:v>Ilūkste</c:v>
                </c:pt>
              </c:strCache>
            </c:strRef>
          </c:cat>
          <c:val>
            <c:numRef>
              <c:f>'Dati grafikiem-3'!$M$6:$M$21</c:f>
              <c:numCache>
                <c:formatCode>General</c:formatCode>
                <c:ptCount val="16"/>
                <c:pt idx="0">
                  <c:v>0.113</c:v>
                </c:pt>
                <c:pt idx="1">
                  <c:v>0.105</c:v>
                </c:pt>
                <c:pt idx="2">
                  <c:v>0.114</c:v>
                </c:pt>
                <c:pt idx="3">
                  <c:v>0.14000000000000001</c:v>
                </c:pt>
                <c:pt idx="4">
                  <c:v>0.115</c:v>
                </c:pt>
                <c:pt idx="5">
                  <c:v>0.15</c:v>
                </c:pt>
                <c:pt idx="6">
                  <c:v>0.129</c:v>
                </c:pt>
                <c:pt idx="7">
                  <c:v>0.106</c:v>
                </c:pt>
                <c:pt idx="8">
                  <c:v>0.13400000000000001</c:v>
                </c:pt>
                <c:pt idx="9">
                  <c:v>6.7000000000000004E-2</c:v>
                </c:pt>
                <c:pt idx="10">
                  <c:v>9.7000000000000003E-2</c:v>
                </c:pt>
                <c:pt idx="11">
                  <c:v>0.127</c:v>
                </c:pt>
                <c:pt idx="12">
                  <c:v>8.3000000000000004E-2</c:v>
                </c:pt>
                <c:pt idx="13">
                  <c:v>0.13100000000000001</c:v>
                </c:pt>
                <c:pt idx="14">
                  <c:v>0.13100000000000001</c:v>
                </c:pt>
                <c:pt idx="15">
                  <c:v>8.4000000000000005E-2</c:v>
                </c:pt>
              </c:numCache>
            </c:numRef>
          </c:val>
        </c:ser>
        <c:dLbls>
          <c:showLegendKey val="0"/>
          <c:showVal val="0"/>
          <c:showCatName val="0"/>
          <c:showSerName val="0"/>
          <c:showPercent val="0"/>
          <c:showBubbleSize val="0"/>
        </c:dLbls>
        <c:gapWidth val="150"/>
        <c:axId val="522588304"/>
        <c:axId val="844650616"/>
      </c:barChart>
      <c:catAx>
        <c:axId val="522588304"/>
        <c:scaling>
          <c:orientation val="minMax"/>
        </c:scaling>
        <c:delete val="0"/>
        <c:axPos val="b"/>
        <c:numFmt formatCode="General" sourceLinked="0"/>
        <c:majorTickMark val="out"/>
        <c:minorTickMark val="none"/>
        <c:tickLblPos val="nextTo"/>
        <c:crossAx val="844650616"/>
        <c:crosses val="autoZero"/>
        <c:auto val="1"/>
        <c:lblAlgn val="ctr"/>
        <c:lblOffset val="100"/>
        <c:noMultiLvlLbl val="0"/>
      </c:catAx>
      <c:valAx>
        <c:axId val="844650616"/>
        <c:scaling>
          <c:orientation val="minMax"/>
        </c:scaling>
        <c:delete val="0"/>
        <c:axPos val="l"/>
        <c:majorGridlines/>
        <c:numFmt formatCode="General" sourceLinked="1"/>
        <c:majorTickMark val="out"/>
        <c:minorTickMark val="none"/>
        <c:tickLblPos val="nextTo"/>
        <c:crossAx val="52258830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239650010715515E-2"/>
          <c:y val="3.7441286866264564E-2"/>
          <c:w val="0.6046274424030329"/>
          <c:h val="0.74050811898822877"/>
        </c:manualLayout>
      </c:layout>
      <c:barChart>
        <c:barDir val="col"/>
        <c:grouping val="clustered"/>
        <c:varyColors val="0"/>
        <c:ser>
          <c:idx val="0"/>
          <c:order val="0"/>
          <c:tx>
            <c:v>Projektētā plūsma uz 1 cilvēku, m3/d</c:v>
          </c:tx>
          <c:invertIfNegative val="0"/>
          <c:cat>
            <c:strRef>
              <c:f>'Dati grafikiem-1'!$C$22:$C$37</c:f>
              <c:strCache>
                <c:ptCount val="16"/>
                <c:pt idx="0">
                  <c:v>Īslīce*</c:v>
                </c:pt>
                <c:pt idx="1">
                  <c:v>Jaunolaine*</c:v>
                </c:pt>
                <c:pt idx="2">
                  <c:v>Jaunpiebalga*</c:v>
                </c:pt>
                <c:pt idx="3">
                  <c:v>Kandava*</c:v>
                </c:pt>
                <c:pt idx="4">
                  <c:v>Kārsava*</c:v>
                </c:pt>
                <c:pt idx="5">
                  <c:v>Krāslava*</c:v>
                </c:pt>
                <c:pt idx="6">
                  <c:v>Ķegums*</c:v>
                </c:pt>
                <c:pt idx="7">
                  <c:v>Lielvārde*</c:v>
                </c:pt>
                <c:pt idx="8">
                  <c:v>Liepa*</c:v>
                </c:pt>
                <c:pt idx="9">
                  <c:v>Limbaži</c:v>
                </c:pt>
                <c:pt idx="10">
                  <c:v>Līvāni</c:v>
                </c:pt>
                <c:pt idx="11">
                  <c:v>Ludza</c:v>
                </c:pt>
                <c:pt idx="12">
                  <c:v>Malta*</c:v>
                </c:pt>
                <c:pt idx="13">
                  <c:v>Mālpils*</c:v>
                </c:pt>
                <c:pt idx="14">
                  <c:v>Ozolnieki*</c:v>
                </c:pt>
                <c:pt idx="15">
                  <c:v>Pļaviņas*</c:v>
                </c:pt>
              </c:strCache>
            </c:strRef>
          </c:cat>
          <c:val>
            <c:numRef>
              <c:f>'Dati grafikiem-3'!$J$22:$J$37</c:f>
              <c:numCache>
                <c:formatCode>General</c:formatCode>
                <c:ptCount val="16"/>
                <c:pt idx="0">
                  <c:v>0.193</c:v>
                </c:pt>
                <c:pt idx="1">
                  <c:v>0.14199999999999999</c:v>
                </c:pt>
                <c:pt idx="2">
                  <c:v>0.22500000000000001</c:v>
                </c:pt>
                <c:pt idx="3">
                  <c:v>0</c:v>
                </c:pt>
                <c:pt idx="4">
                  <c:v>0</c:v>
                </c:pt>
                <c:pt idx="5">
                  <c:v>0.16300000000000001</c:v>
                </c:pt>
                <c:pt idx="6">
                  <c:v>0.67100000000000004</c:v>
                </c:pt>
                <c:pt idx="7">
                  <c:v>0.42</c:v>
                </c:pt>
                <c:pt idx="8">
                  <c:v>0.6</c:v>
                </c:pt>
                <c:pt idx="9">
                  <c:v>0.25</c:v>
                </c:pt>
                <c:pt idx="10">
                  <c:v>0.36</c:v>
                </c:pt>
                <c:pt idx="11">
                  <c:v>0.45200000000000001</c:v>
                </c:pt>
                <c:pt idx="12">
                  <c:v>0.16700000000000001</c:v>
                </c:pt>
                <c:pt idx="13">
                  <c:v>0</c:v>
                </c:pt>
                <c:pt idx="14">
                  <c:v>0.42799999999999999</c:v>
                </c:pt>
                <c:pt idx="15">
                  <c:v>0.22900000000000001</c:v>
                </c:pt>
              </c:numCache>
            </c:numRef>
          </c:val>
        </c:ser>
        <c:ser>
          <c:idx val="2"/>
          <c:order val="1"/>
          <c:tx>
            <c:v>2016. g.plūsma uz 1 cilvēku, m3/d</c:v>
          </c:tx>
          <c:spPr>
            <a:solidFill>
              <a:srgbClr val="92D050"/>
            </a:solidFill>
          </c:spPr>
          <c:invertIfNegative val="0"/>
          <c:cat>
            <c:strRef>
              <c:f>'Dati grafikiem-1'!$C$22:$C$37</c:f>
              <c:strCache>
                <c:ptCount val="16"/>
                <c:pt idx="0">
                  <c:v>Īslīce*</c:v>
                </c:pt>
                <c:pt idx="1">
                  <c:v>Jaunolaine*</c:v>
                </c:pt>
                <c:pt idx="2">
                  <c:v>Jaunpiebalga*</c:v>
                </c:pt>
                <c:pt idx="3">
                  <c:v>Kandava*</c:v>
                </c:pt>
                <c:pt idx="4">
                  <c:v>Kārsava*</c:v>
                </c:pt>
                <c:pt idx="5">
                  <c:v>Krāslava*</c:v>
                </c:pt>
                <c:pt idx="6">
                  <c:v>Ķegums*</c:v>
                </c:pt>
                <c:pt idx="7">
                  <c:v>Lielvārde*</c:v>
                </c:pt>
                <c:pt idx="8">
                  <c:v>Liepa*</c:v>
                </c:pt>
                <c:pt idx="9">
                  <c:v>Limbaži</c:v>
                </c:pt>
                <c:pt idx="10">
                  <c:v>Līvāni</c:v>
                </c:pt>
                <c:pt idx="11">
                  <c:v>Ludza</c:v>
                </c:pt>
                <c:pt idx="12">
                  <c:v>Malta*</c:v>
                </c:pt>
                <c:pt idx="13">
                  <c:v>Mālpils*</c:v>
                </c:pt>
                <c:pt idx="14">
                  <c:v>Ozolnieki*</c:v>
                </c:pt>
                <c:pt idx="15">
                  <c:v>Pļaviņas*</c:v>
                </c:pt>
              </c:strCache>
            </c:strRef>
          </c:cat>
          <c:val>
            <c:numRef>
              <c:f>'Dati grafikiem-3'!$K$22:$K$37</c:f>
              <c:numCache>
                <c:formatCode>General</c:formatCode>
                <c:ptCount val="16"/>
                <c:pt idx="0">
                  <c:v>0.246</c:v>
                </c:pt>
                <c:pt idx="1">
                  <c:v>9.6000000000000002E-2</c:v>
                </c:pt>
                <c:pt idx="2">
                  <c:v>0.20899999999999999</c:v>
                </c:pt>
                <c:pt idx="3">
                  <c:v>0.13700000000000001</c:v>
                </c:pt>
                <c:pt idx="4">
                  <c:v>9.7000000000000003E-2</c:v>
                </c:pt>
                <c:pt idx="5">
                  <c:v>9.8000000000000004E-2</c:v>
                </c:pt>
                <c:pt idx="6">
                  <c:v>0.28799999999999998</c:v>
                </c:pt>
                <c:pt idx="7">
                  <c:v>0.16</c:v>
                </c:pt>
                <c:pt idx="8">
                  <c:v>0.13800000000000001</c:v>
                </c:pt>
                <c:pt idx="9">
                  <c:v>0.17899999999999999</c:v>
                </c:pt>
                <c:pt idx="10">
                  <c:v>0.14399999999999999</c:v>
                </c:pt>
                <c:pt idx="11">
                  <c:v>0.105</c:v>
                </c:pt>
                <c:pt idx="12">
                  <c:v>0.106</c:v>
                </c:pt>
                <c:pt idx="13">
                  <c:v>9.6000000000000002E-2</c:v>
                </c:pt>
                <c:pt idx="14">
                  <c:v>0.22700000000000001</c:v>
                </c:pt>
                <c:pt idx="15">
                  <c:v>0.14599999999999999</c:v>
                </c:pt>
              </c:numCache>
            </c:numRef>
          </c:val>
        </c:ser>
        <c:ser>
          <c:idx val="3"/>
          <c:order val="2"/>
          <c:tx>
            <c:v>2017. g. Plūsma uz 1 cilvēku, m3/d</c:v>
          </c:tx>
          <c:spPr>
            <a:solidFill>
              <a:srgbClr val="92D050"/>
            </a:solidFill>
          </c:spPr>
          <c:invertIfNegative val="0"/>
          <c:cat>
            <c:strRef>
              <c:f>'Dati grafikiem-1'!$C$22:$C$37</c:f>
              <c:strCache>
                <c:ptCount val="16"/>
                <c:pt idx="0">
                  <c:v>Īslīce*</c:v>
                </c:pt>
                <c:pt idx="1">
                  <c:v>Jaunolaine*</c:v>
                </c:pt>
                <c:pt idx="2">
                  <c:v>Jaunpiebalga*</c:v>
                </c:pt>
                <c:pt idx="3">
                  <c:v>Kandava*</c:v>
                </c:pt>
                <c:pt idx="4">
                  <c:v>Kārsava*</c:v>
                </c:pt>
                <c:pt idx="5">
                  <c:v>Krāslava*</c:v>
                </c:pt>
                <c:pt idx="6">
                  <c:v>Ķegums*</c:v>
                </c:pt>
                <c:pt idx="7">
                  <c:v>Lielvārde*</c:v>
                </c:pt>
                <c:pt idx="8">
                  <c:v>Liepa*</c:v>
                </c:pt>
                <c:pt idx="9">
                  <c:v>Limbaži</c:v>
                </c:pt>
                <c:pt idx="10">
                  <c:v>Līvāni</c:v>
                </c:pt>
                <c:pt idx="11">
                  <c:v>Ludza</c:v>
                </c:pt>
                <c:pt idx="12">
                  <c:v>Malta*</c:v>
                </c:pt>
                <c:pt idx="13">
                  <c:v>Mālpils*</c:v>
                </c:pt>
                <c:pt idx="14">
                  <c:v>Ozolnieki*</c:v>
                </c:pt>
                <c:pt idx="15">
                  <c:v>Pļaviņas*</c:v>
                </c:pt>
              </c:strCache>
            </c:strRef>
          </c:cat>
          <c:val>
            <c:numRef>
              <c:f>'Dati grafikiem-3'!$L$22:$L$37</c:f>
              <c:numCache>
                <c:formatCode>General</c:formatCode>
                <c:ptCount val="16"/>
                <c:pt idx="0">
                  <c:v>0.20300000000000001</c:v>
                </c:pt>
                <c:pt idx="1">
                  <c:v>0.08</c:v>
                </c:pt>
                <c:pt idx="2">
                  <c:v>0.19600000000000001</c:v>
                </c:pt>
                <c:pt idx="3">
                  <c:v>0.113</c:v>
                </c:pt>
                <c:pt idx="4">
                  <c:v>0.20799999999999999</c:v>
                </c:pt>
                <c:pt idx="5">
                  <c:v>0.11</c:v>
                </c:pt>
                <c:pt idx="6">
                  <c:v>0.29799999999999999</c:v>
                </c:pt>
                <c:pt idx="7">
                  <c:v>0.16400000000000001</c:v>
                </c:pt>
                <c:pt idx="8">
                  <c:v>0.158</c:v>
                </c:pt>
                <c:pt idx="9">
                  <c:v>0.17199999999999999</c:v>
                </c:pt>
                <c:pt idx="10">
                  <c:v>0.18</c:v>
                </c:pt>
                <c:pt idx="11">
                  <c:v>0.124</c:v>
                </c:pt>
                <c:pt idx="12">
                  <c:v>0.106</c:v>
                </c:pt>
                <c:pt idx="13">
                  <c:v>8.8999999999999996E-2</c:v>
                </c:pt>
                <c:pt idx="14">
                  <c:v>0.22</c:v>
                </c:pt>
                <c:pt idx="15">
                  <c:v>0.16500000000000001</c:v>
                </c:pt>
              </c:numCache>
            </c:numRef>
          </c:val>
        </c:ser>
        <c:ser>
          <c:idx val="4"/>
          <c:order val="3"/>
          <c:tx>
            <c:v>Sausā laika plūsma uz 1 cilvēku, m3/d</c:v>
          </c:tx>
          <c:spPr>
            <a:solidFill>
              <a:schemeClr val="accent6">
                <a:lumMod val="75000"/>
              </a:schemeClr>
            </a:solidFill>
          </c:spPr>
          <c:invertIfNegative val="0"/>
          <c:cat>
            <c:strRef>
              <c:f>'Dati grafikiem-1'!$C$22:$C$37</c:f>
              <c:strCache>
                <c:ptCount val="16"/>
                <c:pt idx="0">
                  <c:v>Īslīce*</c:v>
                </c:pt>
                <c:pt idx="1">
                  <c:v>Jaunolaine*</c:v>
                </c:pt>
                <c:pt idx="2">
                  <c:v>Jaunpiebalga*</c:v>
                </c:pt>
                <c:pt idx="3">
                  <c:v>Kandava*</c:v>
                </c:pt>
                <c:pt idx="4">
                  <c:v>Kārsava*</c:v>
                </c:pt>
                <c:pt idx="5">
                  <c:v>Krāslava*</c:v>
                </c:pt>
                <c:pt idx="6">
                  <c:v>Ķegums*</c:v>
                </c:pt>
                <c:pt idx="7">
                  <c:v>Lielvārde*</c:v>
                </c:pt>
                <c:pt idx="8">
                  <c:v>Liepa*</c:v>
                </c:pt>
                <c:pt idx="9">
                  <c:v>Limbaži</c:v>
                </c:pt>
                <c:pt idx="10">
                  <c:v>Līvāni</c:v>
                </c:pt>
                <c:pt idx="11">
                  <c:v>Ludza</c:v>
                </c:pt>
                <c:pt idx="12">
                  <c:v>Malta*</c:v>
                </c:pt>
                <c:pt idx="13">
                  <c:v>Mālpils*</c:v>
                </c:pt>
                <c:pt idx="14">
                  <c:v>Ozolnieki*</c:v>
                </c:pt>
                <c:pt idx="15">
                  <c:v>Pļaviņas*</c:v>
                </c:pt>
              </c:strCache>
            </c:strRef>
          </c:cat>
          <c:val>
            <c:numRef>
              <c:f>'Dati grafikiem-3'!$M$22:$M$37</c:f>
              <c:numCache>
                <c:formatCode>General</c:formatCode>
                <c:ptCount val="16"/>
                <c:pt idx="0">
                  <c:v>0.21</c:v>
                </c:pt>
                <c:pt idx="1">
                  <c:v>8.3000000000000004E-2</c:v>
                </c:pt>
                <c:pt idx="2">
                  <c:v>0.19800000000000001</c:v>
                </c:pt>
                <c:pt idx="3">
                  <c:v>0.11700000000000001</c:v>
                </c:pt>
                <c:pt idx="4">
                  <c:v>9.6000000000000002E-2</c:v>
                </c:pt>
                <c:pt idx="5">
                  <c:v>9.7000000000000003E-2</c:v>
                </c:pt>
                <c:pt idx="6">
                  <c:v>0.28000000000000003</c:v>
                </c:pt>
                <c:pt idx="7">
                  <c:v>0.16</c:v>
                </c:pt>
                <c:pt idx="8">
                  <c:v>0.13800000000000001</c:v>
                </c:pt>
                <c:pt idx="9">
                  <c:v>0.129</c:v>
                </c:pt>
                <c:pt idx="10">
                  <c:v>0.13800000000000001</c:v>
                </c:pt>
                <c:pt idx="11">
                  <c:v>8.1000000000000003E-2</c:v>
                </c:pt>
                <c:pt idx="12">
                  <c:v>0.11</c:v>
                </c:pt>
                <c:pt idx="13">
                  <c:v>0.09</c:v>
                </c:pt>
                <c:pt idx="14">
                  <c:v>0.219</c:v>
                </c:pt>
                <c:pt idx="15">
                  <c:v>0.14899999999999999</c:v>
                </c:pt>
              </c:numCache>
            </c:numRef>
          </c:val>
        </c:ser>
        <c:dLbls>
          <c:showLegendKey val="0"/>
          <c:showVal val="0"/>
          <c:showCatName val="0"/>
          <c:showSerName val="0"/>
          <c:showPercent val="0"/>
          <c:showBubbleSize val="0"/>
        </c:dLbls>
        <c:gapWidth val="150"/>
        <c:axId val="844649832"/>
        <c:axId val="844648264"/>
      </c:barChart>
      <c:catAx>
        <c:axId val="844649832"/>
        <c:scaling>
          <c:orientation val="minMax"/>
        </c:scaling>
        <c:delete val="0"/>
        <c:axPos val="b"/>
        <c:numFmt formatCode="General" sourceLinked="0"/>
        <c:majorTickMark val="out"/>
        <c:minorTickMark val="none"/>
        <c:tickLblPos val="nextTo"/>
        <c:crossAx val="844648264"/>
        <c:crosses val="autoZero"/>
        <c:auto val="1"/>
        <c:lblAlgn val="ctr"/>
        <c:lblOffset val="100"/>
        <c:noMultiLvlLbl val="0"/>
      </c:catAx>
      <c:valAx>
        <c:axId val="844648264"/>
        <c:scaling>
          <c:orientation val="minMax"/>
        </c:scaling>
        <c:delete val="0"/>
        <c:axPos val="l"/>
        <c:majorGridlines/>
        <c:numFmt formatCode="General" sourceLinked="1"/>
        <c:majorTickMark val="out"/>
        <c:minorTickMark val="none"/>
        <c:tickLblPos val="nextTo"/>
        <c:crossAx val="84464983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239650010715515E-2"/>
          <c:y val="3.7441286866264564E-2"/>
          <c:w val="0.59991488043161278"/>
          <c:h val="0.75445968562562904"/>
        </c:manualLayout>
      </c:layout>
      <c:barChart>
        <c:barDir val="col"/>
        <c:grouping val="clustered"/>
        <c:varyColors val="0"/>
        <c:ser>
          <c:idx val="0"/>
          <c:order val="0"/>
          <c:tx>
            <c:v>Projektētā plūsma uz 1 cilvēku, m3/d</c:v>
          </c:tx>
          <c:invertIfNegative val="0"/>
          <c:cat>
            <c:strRef>
              <c:f>'Dati grafikiem-1'!$C$38:$C$54</c:f>
              <c:strCache>
                <c:ptCount val="17"/>
                <c:pt idx="0">
                  <c:v>Preiļi</c:v>
                </c:pt>
                <c:pt idx="1">
                  <c:v>Priekule</c:v>
                </c:pt>
                <c:pt idx="2">
                  <c:v>Priekuļi*</c:v>
                </c:pt>
                <c:pt idx="3">
                  <c:v>Roja*</c:v>
                </c:pt>
                <c:pt idx="4">
                  <c:v>Rūjiena*</c:v>
                </c:pt>
                <c:pt idx="5">
                  <c:v>Salacgrīva*</c:v>
                </c:pt>
                <c:pt idx="6">
                  <c:v>Saulkrasti*</c:v>
                </c:pt>
                <c:pt idx="7">
                  <c:v>Skrīveri</c:v>
                </c:pt>
                <c:pt idx="8">
                  <c:v>Skrunda</c:v>
                </c:pt>
                <c:pt idx="9">
                  <c:v>Smiltene</c:v>
                </c:pt>
                <c:pt idx="10">
                  <c:v>Stende*</c:v>
                </c:pt>
                <c:pt idx="11">
                  <c:v>Ulbroka*</c:v>
                </c:pt>
                <c:pt idx="12">
                  <c:v>Valka</c:v>
                </c:pt>
                <c:pt idx="13">
                  <c:v>Vangaži*</c:v>
                </c:pt>
                <c:pt idx="14">
                  <c:v>Varakļāni</c:v>
                </c:pt>
                <c:pt idx="15">
                  <c:v>Vecumnieki*</c:v>
                </c:pt>
                <c:pt idx="16">
                  <c:v>Viļāni*</c:v>
                </c:pt>
              </c:strCache>
            </c:strRef>
          </c:cat>
          <c:val>
            <c:numRef>
              <c:f>'Dati grafikiem-3'!$J$38:$J$54</c:f>
              <c:numCache>
                <c:formatCode>General</c:formatCode>
                <c:ptCount val="17"/>
                <c:pt idx="0">
                  <c:v>0.22900000000000001</c:v>
                </c:pt>
                <c:pt idx="1">
                  <c:v>0.23200000000000001</c:v>
                </c:pt>
                <c:pt idx="2">
                  <c:v>0</c:v>
                </c:pt>
                <c:pt idx="3">
                  <c:v>0.24</c:v>
                </c:pt>
                <c:pt idx="4">
                  <c:v>0.28599999999999998</c:v>
                </c:pt>
                <c:pt idx="5">
                  <c:v>0.13</c:v>
                </c:pt>
                <c:pt idx="6">
                  <c:v>0.113</c:v>
                </c:pt>
                <c:pt idx="7">
                  <c:v>0.129</c:v>
                </c:pt>
                <c:pt idx="8">
                  <c:v>0.79200000000000004</c:v>
                </c:pt>
                <c:pt idx="9">
                  <c:v>0.25700000000000001</c:v>
                </c:pt>
                <c:pt idx="10">
                  <c:v>0.85499999999999998</c:v>
                </c:pt>
                <c:pt idx="11">
                  <c:v>0.19700000000000001</c:v>
                </c:pt>
                <c:pt idx="12">
                  <c:v>0.28100000000000003</c:v>
                </c:pt>
                <c:pt idx="13">
                  <c:v>0.89600000000000002</c:v>
                </c:pt>
                <c:pt idx="14">
                  <c:v>0.33500000000000002</c:v>
                </c:pt>
                <c:pt idx="15">
                  <c:v>0.13300000000000001</c:v>
                </c:pt>
                <c:pt idx="16">
                  <c:v>1.452</c:v>
                </c:pt>
              </c:numCache>
            </c:numRef>
          </c:val>
        </c:ser>
        <c:ser>
          <c:idx val="2"/>
          <c:order val="1"/>
          <c:tx>
            <c:v>2016. g.plūsma uz 1 cilvēku, m3/d</c:v>
          </c:tx>
          <c:spPr>
            <a:solidFill>
              <a:srgbClr val="92D050"/>
            </a:solidFill>
          </c:spPr>
          <c:invertIfNegative val="0"/>
          <c:cat>
            <c:strRef>
              <c:f>'Dati grafikiem-1'!$C$38:$C$54</c:f>
              <c:strCache>
                <c:ptCount val="17"/>
                <c:pt idx="0">
                  <c:v>Preiļi</c:v>
                </c:pt>
                <c:pt idx="1">
                  <c:v>Priekule</c:v>
                </c:pt>
                <c:pt idx="2">
                  <c:v>Priekuļi*</c:v>
                </c:pt>
                <c:pt idx="3">
                  <c:v>Roja*</c:v>
                </c:pt>
                <c:pt idx="4">
                  <c:v>Rūjiena*</c:v>
                </c:pt>
                <c:pt idx="5">
                  <c:v>Salacgrīva*</c:v>
                </c:pt>
                <c:pt idx="6">
                  <c:v>Saulkrasti*</c:v>
                </c:pt>
                <c:pt idx="7">
                  <c:v>Skrīveri</c:v>
                </c:pt>
                <c:pt idx="8">
                  <c:v>Skrunda</c:v>
                </c:pt>
                <c:pt idx="9">
                  <c:v>Smiltene</c:v>
                </c:pt>
                <c:pt idx="10">
                  <c:v>Stende*</c:v>
                </c:pt>
                <c:pt idx="11">
                  <c:v>Ulbroka*</c:v>
                </c:pt>
                <c:pt idx="12">
                  <c:v>Valka</c:v>
                </c:pt>
                <c:pt idx="13">
                  <c:v>Vangaži*</c:v>
                </c:pt>
                <c:pt idx="14">
                  <c:v>Varakļāni</c:v>
                </c:pt>
                <c:pt idx="15">
                  <c:v>Vecumnieki*</c:v>
                </c:pt>
                <c:pt idx="16">
                  <c:v>Viļāni*</c:v>
                </c:pt>
              </c:strCache>
            </c:strRef>
          </c:cat>
          <c:val>
            <c:numRef>
              <c:f>'Dati grafikiem-3'!$K$38:$K$54</c:f>
              <c:numCache>
                <c:formatCode>General</c:formatCode>
                <c:ptCount val="17"/>
                <c:pt idx="0">
                  <c:v>0.215</c:v>
                </c:pt>
                <c:pt idx="1">
                  <c:v>0.19</c:v>
                </c:pt>
                <c:pt idx="2">
                  <c:v>0</c:v>
                </c:pt>
                <c:pt idx="3">
                  <c:v>0.14099999999999999</c:v>
                </c:pt>
                <c:pt idx="4">
                  <c:v>0.24</c:v>
                </c:pt>
                <c:pt idx="5">
                  <c:v>0.224</c:v>
                </c:pt>
                <c:pt idx="6">
                  <c:v>0.245</c:v>
                </c:pt>
                <c:pt idx="7">
                  <c:v>0.27</c:v>
                </c:pt>
                <c:pt idx="8">
                  <c:v>0.23</c:v>
                </c:pt>
                <c:pt idx="9">
                  <c:v>0.17100000000000001</c:v>
                </c:pt>
                <c:pt idx="10">
                  <c:v>0.35299999999999998</c:v>
                </c:pt>
                <c:pt idx="11">
                  <c:v>0.182</c:v>
                </c:pt>
                <c:pt idx="12">
                  <c:v>0.21199999999999999</c:v>
                </c:pt>
                <c:pt idx="13">
                  <c:v>0.108</c:v>
                </c:pt>
                <c:pt idx="14">
                  <c:v>9.5000000000000001E-2</c:v>
                </c:pt>
                <c:pt idx="15">
                  <c:v>0.128</c:v>
                </c:pt>
                <c:pt idx="16">
                  <c:v>0.125</c:v>
                </c:pt>
              </c:numCache>
            </c:numRef>
          </c:val>
        </c:ser>
        <c:ser>
          <c:idx val="3"/>
          <c:order val="2"/>
          <c:tx>
            <c:v>2017. g. Plūsma uz 1 cilvēku, m3/d</c:v>
          </c:tx>
          <c:spPr>
            <a:solidFill>
              <a:srgbClr val="92D050"/>
            </a:solidFill>
          </c:spPr>
          <c:invertIfNegative val="0"/>
          <c:cat>
            <c:strRef>
              <c:f>'Dati grafikiem-1'!$C$38:$C$54</c:f>
              <c:strCache>
                <c:ptCount val="17"/>
                <c:pt idx="0">
                  <c:v>Preiļi</c:v>
                </c:pt>
                <c:pt idx="1">
                  <c:v>Priekule</c:v>
                </c:pt>
                <c:pt idx="2">
                  <c:v>Priekuļi*</c:v>
                </c:pt>
                <c:pt idx="3">
                  <c:v>Roja*</c:v>
                </c:pt>
                <c:pt idx="4">
                  <c:v>Rūjiena*</c:v>
                </c:pt>
                <c:pt idx="5">
                  <c:v>Salacgrīva*</c:v>
                </c:pt>
                <c:pt idx="6">
                  <c:v>Saulkrasti*</c:v>
                </c:pt>
                <c:pt idx="7">
                  <c:v>Skrīveri</c:v>
                </c:pt>
                <c:pt idx="8">
                  <c:v>Skrunda</c:v>
                </c:pt>
                <c:pt idx="9">
                  <c:v>Smiltene</c:v>
                </c:pt>
                <c:pt idx="10">
                  <c:v>Stende*</c:v>
                </c:pt>
                <c:pt idx="11">
                  <c:v>Ulbroka*</c:v>
                </c:pt>
                <c:pt idx="12">
                  <c:v>Valka</c:v>
                </c:pt>
                <c:pt idx="13">
                  <c:v>Vangaži*</c:v>
                </c:pt>
                <c:pt idx="14">
                  <c:v>Varakļāni</c:v>
                </c:pt>
                <c:pt idx="15">
                  <c:v>Vecumnieki*</c:v>
                </c:pt>
                <c:pt idx="16">
                  <c:v>Viļāni*</c:v>
                </c:pt>
              </c:strCache>
            </c:strRef>
          </c:cat>
          <c:val>
            <c:numRef>
              <c:f>'Dati grafikiem-3'!$L$38:$L$54</c:f>
              <c:numCache>
                <c:formatCode>General</c:formatCode>
                <c:ptCount val="17"/>
                <c:pt idx="0">
                  <c:v>0.32800000000000001</c:v>
                </c:pt>
                <c:pt idx="1">
                  <c:v>0.28799999999999998</c:v>
                </c:pt>
                <c:pt idx="2">
                  <c:v>0</c:v>
                </c:pt>
                <c:pt idx="3">
                  <c:v>0.15</c:v>
                </c:pt>
                <c:pt idx="4">
                  <c:v>0.23100000000000001</c:v>
                </c:pt>
                <c:pt idx="5">
                  <c:v>0.21299999999999999</c:v>
                </c:pt>
                <c:pt idx="6">
                  <c:v>0.24199999999999999</c:v>
                </c:pt>
                <c:pt idx="7">
                  <c:v>0.29499999999999998</c:v>
                </c:pt>
                <c:pt idx="8">
                  <c:v>0.251</c:v>
                </c:pt>
                <c:pt idx="9">
                  <c:v>0.184</c:v>
                </c:pt>
                <c:pt idx="10">
                  <c:v>0</c:v>
                </c:pt>
                <c:pt idx="11">
                  <c:v>0.156</c:v>
                </c:pt>
                <c:pt idx="12">
                  <c:v>0.223</c:v>
                </c:pt>
                <c:pt idx="13">
                  <c:v>0.15</c:v>
                </c:pt>
                <c:pt idx="14">
                  <c:v>0.224</c:v>
                </c:pt>
                <c:pt idx="15">
                  <c:v>0.13</c:v>
                </c:pt>
                <c:pt idx="16">
                  <c:v>9.6000000000000002E-2</c:v>
                </c:pt>
              </c:numCache>
            </c:numRef>
          </c:val>
        </c:ser>
        <c:ser>
          <c:idx val="4"/>
          <c:order val="3"/>
          <c:tx>
            <c:v>Sausā laika plūsma uz 1 cilvēku, m3/d</c:v>
          </c:tx>
          <c:spPr>
            <a:solidFill>
              <a:schemeClr val="accent6">
                <a:lumMod val="75000"/>
              </a:schemeClr>
            </a:solidFill>
          </c:spPr>
          <c:invertIfNegative val="0"/>
          <c:cat>
            <c:strRef>
              <c:f>'Dati grafikiem-1'!$C$38:$C$54</c:f>
              <c:strCache>
                <c:ptCount val="17"/>
                <c:pt idx="0">
                  <c:v>Preiļi</c:v>
                </c:pt>
                <c:pt idx="1">
                  <c:v>Priekule</c:v>
                </c:pt>
                <c:pt idx="2">
                  <c:v>Priekuļi*</c:v>
                </c:pt>
                <c:pt idx="3">
                  <c:v>Roja*</c:v>
                </c:pt>
                <c:pt idx="4">
                  <c:v>Rūjiena*</c:v>
                </c:pt>
                <c:pt idx="5">
                  <c:v>Salacgrīva*</c:v>
                </c:pt>
                <c:pt idx="6">
                  <c:v>Saulkrasti*</c:v>
                </c:pt>
                <c:pt idx="7">
                  <c:v>Skrīveri</c:v>
                </c:pt>
                <c:pt idx="8">
                  <c:v>Skrunda</c:v>
                </c:pt>
                <c:pt idx="9">
                  <c:v>Smiltene</c:v>
                </c:pt>
                <c:pt idx="10">
                  <c:v>Stende*</c:v>
                </c:pt>
                <c:pt idx="11">
                  <c:v>Ulbroka*</c:v>
                </c:pt>
                <c:pt idx="12">
                  <c:v>Valka</c:v>
                </c:pt>
                <c:pt idx="13">
                  <c:v>Vangaži*</c:v>
                </c:pt>
                <c:pt idx="14">
                  <c:v>Varakļāni</c:v>
                </c:pt>
                <c:pt idx="15">
                  <c:v>Vecumnieki*</c:v>
                </c:pt>
                <c:pt idx="16">
                  <c:v>Viļāni*</c:v>
                </c:pt>
              </c:strCache>
            </c:strRef>
          </c:cat>
          <c:val>
            <c:numRef>
              <c:f>'Dati grafikiem-3'!$M$38:$M$54</c:f>
              <c:numCache>
                <c:formatCode>General</c:formatCode>
                <c:ptCount val="17"/>
                <c:pt idx="0">
                  <c:v>0.221</c:v>
                </c:pt>
                <c:pt idx="1">
                  <c:v>0.109</c:v>
                </c:pt>
                <c:pt idx="2">
                  <c:v>0</c:v>
                </c:pt>
                <c:pt idx="3">
                  <c:v>0.14799999999999999</c:v>
                </c:pt>
                <c:pt idx="4">
                  <c:v>0.23799999999999999</c:v>
                </c:pt>
                <c:pt idx="5">
                  <c:v>0.21099999999999999</c:v>
                </c:pt>
                <c:pt idx="6">
                  <c:v>0.20599999999999999</c:v>
                </c:pt>
                <c:pt idx="7">
                  <c:v>0.27900000000000003</c:v>
                </c:pt>
                <c:pt idx="8">
                  <c:v>0.23300000000000001</c:v>
                </c:pt>
                <c:pt idx="9">
                  <c:v>0.156</c:v>
                </c:pt>
                <c:pt idx="10">
                  <c:v>0.13100000000000001</c:v>
                </c:pt>
                <c:pt idx="11">
                  <c:v>0.159</c:v>
                </c:pt>
                <c:pt idx="12">
                  <c:v>0.218</c:v>
                </c:pt>
                <c:pt idx="13">
                  <c:v>0.108</c:v>
                </c:pt>
                <c:pt idx="14">
                  <c:v>9.7000000000000003E-2</c:v>
                </c:pt>
                <c:pt idx="15">
                  <c:v>0.128</c:v>
                </c:pt>
                <c:pt idx="16">
                  <c:v>0.11600000000000001</c:v>
                </c:pt>
              </c:numCache>
            </c:numRef>
          </c:val>
        </c:ser>
        <c:dLbls>
          <c:showLegendKey val="0"/>
          <c:showVal val="0"/>
          <c:showCatName val="0"/>
          <c:showSerName val="0"/>
          <c:showPercent val="0"/>
          <c:showBubbleSize val="0"/>
        </c:dLbls>
        <c:gapWidth val="150"/>
        <c:axId val="844648656"/>
        <c:axId val="844649048"/>
      </c:barChart>
      <c:catAx>
        <c:axId val="844648656"/>
        <c:scaling>
          <c:orientation val="minMax"/>
        </c:scaling>
        <c:delete val="0"/>
        <c:axPos val="b"/>
        <c:numFmt formatCode="General" sourceLinked="0"/>
        <c:majorTickMark val="out"/>
        <c:minorTickMark val="none"/>
        <c:tickLblPos val="nextTo"/>
        <c:crossAx val="844649048"/>
        <c:crosses val="autoZero"/>
        <c:auto val="1"/>
        <c:lblAlgn val="ctr"/>
        <c:lblOffset val="100"/>
        <c:noMultiLvlLbl val="0"/>
      </c:catAx>
      <c:valAx>
        <c:axId val="844649048"/>
        <c:scaling>
          <c:orientation val="minMax"/>
        </c:scaling>
        <c:delete val="0"/>
        <c:axPos val="l"/>
        <c:majorGridlines/>
        <c:numFmt formatCode="General" sourceLinked="1"/>
        <c:majorTickMark val="out"/>
        <c:minorTickMark val="none"/>
        <c:tickLblPos val="nextTo"/>
        <c:crossAx val="844648656"/>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239650010715515E-2"/>
          <c:y val="4.80776988499554E-2"/>
          <c:w val="0.61146343686205895"/>
          <c:h val="0.77224091891899438"/>
        </c:manualLayout>
      </c:layout>
      <c:barChart>
        <c:barDir val="col"/>
        <c:grouping val="clustered"/>
        <c:varyColors val="0"/>
        <c:ser>
          <c:idx val="0"/>
          <c:order val="0"/>
          <c:tx>
            <c:v>Projektētā slodze, CE</c:v>
          </c:tx>
          <c:spPr>
            <a:solidFill>
              <a:srgbClr val="00B050"/>
            </a:solidFill>
          </c:spPr>
          <c:invertIfNegative val="0"/>
          <c:cat>
            <c:strRef>
              <c:f>'Dati grafikiem-1'!$C$6:$C$21</c:f>
              <c:strCache>
                <c:ptCount val="16"/>
                <c:pt idx="0">
                  <c:v>Aizpute</c:v>
                </c:pt>
                <c:pt idx="1">
                  <c:v>Alūksne*</c:v>
                </c:pt>
                <c:pt idx="2">
                  <c:v>Auce</c:v>
                </c:pt>
                <c:pt idx="3">
                  <c:v>Babīte</c:v>
                </c:pt>
                <c:pt idx="4">
                  <c:v>Baldone</c:v>
                </c:pt>
                <c:pt idx="5">
                  <c:v>Baloži</c:v>
                </c:pt>
                <c:pt idx="6">
                  <c:v>Balvi</c:v>
                </c:pt>
                <c:pt idx="7">
                  <c:v>Brocēni*</c:v>
                </c:pt>
                <c:pt idx="8">
                  <c:v>Carnikava</c:v>
                </c:pt>
                <c:pt idx="9">
                  <c:v>Dagda</c:v>
                </c:pt>
                <c:pt idx="10">
                  <c:v>Dundaga*</c:v>
                </c:pt>
                <c:pt idx="11">
                  <c:v>Ērgļi*</c:v>
                </c:pt>
                <c:pt idx="12">
                  <c:v>Grobiņa</c:v>
                </c:pt>
                <c:pt idx="13">
                  <c:v>Iecava*</c:v>
                </c:pt>
                <c:pt idx="14">
                  <c:v>Ikšķile</c:v>
                </c:pt>
                <c:pt idx="15">
                  <c:v>Ilūkste</c:v>
                </c:pt>
              </c:strCache>
            </c:strRef>
          </c:cat>
          <c:val>
            <c:numRef>
              <c:f>'Dati grafikiem-1'!$E$6:$E$21</c:f>
              <c:numCache>
                <c:formatCode>General</c:formatCode>
                <c:ptCount val="16"/>
                <c:pt idx="0">
                  <c:v>7980</c:v>
                </c:pt>
                <c:pt idx="1">
                  <c:v>9500</c:v>
                </c:pt>
                <c:pt idx="2">
                  <c:v>2943</c:v>
                </c:pt>
                <c:pt idx="3">
                  <c:v>7300</c:v>
                </c:pt>
                <c:pt idx="4">
                  <c:v>2550</c:v>
                </c:pt>
                <c:pt idx="5">
                  <c:v>7140</c:v>
                </c:pt>
                <c:pt idx="6">
                  <c:v>10000</c:v>
                </c:pt>
                <c:pt idx="7">
                  <c:v>0</c:v>
                </c:pt>
                <c:pt idx="8">
                  <c:v>4500</c:v>
                </c:pt>
                <c:pt idx="9">
                  <c:v>2575</c:v>
                </c:pt>
                <c:pt idx="10">
                  <c:v>615</c:v>
                </c:pt>
                <c:pt idx="11">
                  <c:v>3310</c:v>
                </c:pt>
                <c:pt idx="12">
                  <c:v>2092</c:v>
                </c:pt>
                <c:pt idx="13">
                  <c:v>9275</c:v>
                </c:pt>
                <c:pt idx="14">
                  <c:v>5061</c:v>
                </c:pt>
                <c:pt idx="15">
                  <c:v>4170</c:v>
                </c:pt>
              </c:numCache>
            </c:numRef>
          </c:val>
        </c:ser>
        <c:ser>
          <c:idx val="2"/>
          <c:order val="1"/>
          <c:tx>
            <c:v>2016. g. slodze, CE</c:v>
          </c:tx>
          <c:spPr>
            <a:solidFill>
              <a:srgbClr val="FFC000"/>
            </a:solidFill>
          </c:spPr>
          <c:invertIfNegative val="0"/>
          <c:cat>
            <c:strRef>
              <c:f>'Dati grafikiem-1'!$C$6:$C$21</c:f>
              <c:strCache>
                <c:ptCount val="16"/>
                <c:pt idx="0">
                  <c:v>Aizpute</c:v>
                </c:pt>
                <c:pt idx="1">
                  <c:v>Alūksne*</c:v>
                </c:pt>
                <c:pt idx="2">
                  <c:v>Auce</c:v>
                </c:pt>
                <c:pt idx="3">
                  <c:v>Babīte</c:v>
                </c:pt>
                <c:pt idx="4">
                  <c:v>Baldone</c:v>
                </c:pt>
                <c:pt idx="5">
                  <c:v>Baloži</c:v>
                </c:pt>
                <c:pt idx="6">
                  <c:v>Balvi</c:v>
                </c:pt>
                <c:pt idx="7">
                  <c:v>Brocēni*</c:v>
                </c:pt>
                <c:pt idx="8">
                  <c:v>Carnikava</c:v>
                </c:pt>
                <c:pt idx="9">
                  <c:v>Dagda</c:v>
                </c:pt>
                <c:pt idx="10">
                  <c:v>Dundaga*</c:v>
                </c:pt>
                <c:pt idx="11">
                  <c:v>Ērgļi*</c:v>
                </c:pt>
                <c:pt idx="12">
                  <c:v>Grobiņa</c:v>
                </c:pt>
                <c:pt idx="13">
                  <c:v>Iecava*</c:v>
                </c:pt>
                <c:pt idx="14">
                  <c:v>Ikšķile</c:v>
                </c:pt>
                <c:pt idx="15">
                  <c:v>Ilūkste</c:v>
                </c:pt>
              </c:strCache>
            </c:strRef>
          </c:cat>
          <c:val>
            <c:numRef>
              <c:f>'Dati grafikiem-1'!$I$6:$I$21</c:f>
              <c:numCache>
                <c:formatCode>General</c:formatCode>
                <c:ptCount val="16"/>
                <c:pt idx="0">
                  <c:v>1400</c:v>
                </c:pt>
                <c:pt idx="1">
                  <c:v>1200</c:v>
                </c:pt>
                <c:pt idx="2">
                  <c:v>150</c:v>
                </c:pt>
                <c:pt idx="3">
                  <c:v>7117</c:v>
                </c:pt>
                <c:pt idx="4">
                  <c:v>900</c:v>
                </c:pt>
                <c:pt idx="5">
                  <c:v>5483</c:v>
                </c:pt>
                <c:pt idx="6">
                  <c:v>4800</c:v>
                </c:pt>
                <c:pt idx="7">
                  <c:v>1067</c:v>
                </c:pt>
                <c:pt idx="8">
                  <c:v>1850</c:v>
                </c:pt>
                <c:pt idx="9">
                  <c:v>1850</c:v>
                </c:pt>
                <c:pt idx="10">
                  <c:v>12017</c:v>
                </c:pt>
                <c:pt idx="11">
                  <c:v>4683</c:v>
                </c:pt>
                <c:pt idx="12">
                  <c:v>2883</c:v>
                </c:pt>
                <c:pt idx="13">
                  <c:v>2217</c:v>
                </c:pt>
                <c:pt idx="14">
                  <c:v>4317</c:v>
                </c:pt>
                <c:pt idx="15">
                  <c:v>1233</c:v>
                </c:pt>
              </c:numCache>
            </c:numRef>
          </c:val>
        </c:ser>
        <c:ser>
          <c:idx val="3"/>
          <c:order val="2"/>
          <c:tx>
            <c:v>2017. g. slodze, CE</c:v>
          </c:tx>
          <c:spPr>
            <a:solidFill>
              <a:srgbClr val="FFC000"/>
            </a:solidFill>
          </c:spPr>
          <c:invertIfNegative val="0"/>
          <c:cat>
            <c:strRef>
              <c:f>'Dati grafikiem-1'!$C$6:$C$21</c:f>
              <c:strCache>
                <c:ptCount val="16"/>
                <c:pt idx="0">
                  <c:v>Aizpute</c:v>
                </c:pt>
                <c:pt idx="1">
                  <c:v>Alūksne*</c:v>
                </c:pt>
                <c:pt idx="2">
                  <c:v>Auce</c:v>
                </c:pt>
                <c:pt idx="3">
                  <c:v>Babīte</c:v>
                </c:pt>
                <c:pt idx="4">
                  <c:v>Baldone</c:v>
                </c:pt>
                <c:pt idx="5">
                  <c:v>Baloži</c:v>
                </c:pt>
                <c:pt idx="6">
                  <c:v>Balvi</c:v>
                </c:pt>
                <c:pt idx="7">
                  <c:v>Brocēni*</c:v>
                </c:pt>
                <c:pt idx="8">
                  <c:v>Carnikava</c:v>
                </c:pt>
                <c:pt idx="9">
                  <c:v>Dagda</c:v>
                </c:pt>
                <c:pt idx="10">
                  <c:v>Dundaga*</c:v>
                </c:pt>
                <c:pt idx="11">
                  <c:v>Ērgļi*</c:v>
                </c:pt>
                <c:pt idx="12">
                  <c:v>Grobiņa</c:v>
                </c:pt>
                <c:pt idx="13">
                  <c:v>Iecava*</c:v>
                </c:pt>
                <c:pt idx="14">
                  <c:v>Ikšķile</c:v>
                </c:pt>
                <c:pt idx="15">
                  <c:v>Ilūkste</c:v>
                </c:pt>
              </c:strCache>
            </c:strRef>
          </c:cat>
          <c:val>
            <c:numRef>
              <c:f>'Dati grafikiem-1'!$J$6:$J$21</c:f>
              <c:numCache>
                <c:formatCode>General</c:formatCode>
                <c:ptCount val="16"/>
                <c:pt idx="0">
                  <c:v>2650</c:v>
                </c:pt>
                <c:pt idx="1">
                  <c:v>1750</c:v>
                </c:pt>
                <c:pt idx="2">
                  <c:v>133</c:v>
                </c:pt>
                <c:pt idx="3">
                  <c:v>6533</c:v>
                </c:pt>
                <c:pt idx="4">
                  <c:v>933</c:v>
                </c:pt>
                <c:pt idx="5">
                  <c:v>7133</c:v>
                </c:pt>
                <c:pt idx="6">
                  <c:v>2583</c:v>
                </c:pt>
                <c:pt idx="7">
                  <c:v>1800</c:v>
                </c:pt>
                <c:pt idx="8">
                  <c:v>3800</c:v>
                </c:pt>
                <c:pt idx="9">
                  <c:v>1850</c:v>
                </c:pt>
                <c:pt idx="10">
                  <c:v>3083</c:v>
                </c:pt>
                <c:pt idx="11">
                  <c:v>2733</c:v>
                </c:pt>
                <c:pt idx="12">
                  <c:v>1800</c:v>
                </c:pt>
                <c:pt idx="13">
                  <c:v>2633</c:v>
                </c:pt>
                <c:pt idx="14">
                  <c:v>2167</c:v>
                </c:pt>
                <c:pt idx="15">
                  <c:v>1300</c:v>
                </c:pt>
              </c:numCache>
            </c:numRef>
          </c:val>
        </c:ser>
        <c:ser>
          <c:idx val="4"/>
          <c:order val="3"/>
          <c:tx>
            <c:v>Sausā laika slodze 2018, CE</c:v>
          </c:tx>
          <c:spPr>
            <a:solidFill>
              <a:srgbClr val="FF0000"/>
            </a:solidFill>
          </c:spPr>
          <c:invertIfNegative val="0"/>
          <c:cat>
            <c:strRef>
              <c:f>'Dati grafikiem-1'!$C$6:$C$21</c:f>
              <c:strCache>
                <c:ptCount val="16"/>
                <c:pt idx="0">
                  <c:v>Aizpute</c:v>
                </c:pt>
                <c:pt idx="1">
                  <c:v>Alūksne*</c:v>
                </c:pt>
                <c:pt idx="2">
                  <c:v>Auce</c:v>
                </c:pt>
                <c:pt idx="3">
                  <c:v>Babīte</c:v>
                </c:pt>
                <c:pt idx="4">
                  <c:v>Baldone</c:v>
                </c:pt>
                <c:pt idx="5">
                  <c:v>Baloži</c:v>
                </c:pt>
                <c:pt idx="6">
                  <c:v>Balvi</c:v>
                </c:pt>
                <c:pt idx="7">
                  <c:v>Brocēni*</c:v>
                </c:pt>
                <c:pt idx="8">
                  <c:v>Carnikava</c:v>
                </c:pt>
                <c:pt idx="9">
                  <c:v>Dagda</c:v>
                </c:pt>
                <c:pt idx="10">
                  <c:v>Dundaga*</c:v>
                </c:pt>
                <c:pt idx="11">
                  <c:v>Ērgļi*</c:v>
                </c:pt>
                <c:pt idx="12">
                  <c:v>Grobiņa</c:v>
                </c:pt>
                <c:pt idx="13">
                  <c:v>Iecava*</c:v>
                </c:pt>
                <c:pt idx="14">
                  <c:v>Ikšķile</c:v>
                </c:pt>
                <c:pt idx="15">
                  <c:v>Ilūkste</c:v>
                </c:pt>
              </c:strCache>
            </c:strRef>
          </c:cat>
          <c:val>
            <c:numRef>
              <c:f>'Dati grafikiem-1'!$K$6:$K$21</c:f>
              <c:numCache>
                <c:formatCode>General</c:formatCode>
                <c:ptCount val="16"/>
                <c:pt idx="0">
                  <c:v>2347</c:v>
                </c:pt>
                <c:pt idx="1">
                  <c:v>4783</c:v>
                </c:pt>
                <c:pt idx="2">
                  <c:v>724</c:v>
                </c:pt>
                <c:pt idx="3">
                  <c:v>4317</c:v>
                </c:pt>
                <c:pt idx="4">
                  <c:v>1172</c:v>
                </c:pt>
                <c:pt idx="5">
                  <c:v>8700</c:v>
                </c:pt>
                <c:pt idx="6">
                  <c:v>4290</c:v>
                </c:pt>
                <c:pt idx="7">
                  <c:v>2750</c:v>
                </c:pt>
                <c:pt idx="8">
                  <c:v>2597</c:v>
                </c:pt>
                <c:pt idx="9">
                  <c:v>1260</c:v>
                </c:pt>
                <c:pt idx="10">
                  <c:v>3750</c:v>
                </c:pt>
                <c:pt idx="11">
                  <c:v>1760</c:v>
                </c:pt>
                <c:pt idx="12">
                  <c:v>1500</c:v>
                </c:pt>
                <c:pt idx="13">
                  <c:v>4157</c:v>
                </c:pt>
                <c:pt idx="14">
                  <c:v>6333</c:v>
                </c:pt>
                <c:pt idx="15">
                  <c:v>1167</c:v>
                </c:pt>
              </c:numCache>
            </c:numRef>
          </c:val>
        </c:ser>
        <c:dLbls>
          <c:showLegendKey val="0"/>
          <c:showVal val="0"/>
          <c:showCatName val="0"/>
          <c:showSerName val="0"/>
          <c:showPercent val="0"/>
          <c:showBubbleSize val="0"/>
        </c:dLbls>
        <c:gapWidth val="150"/>
        <c:axId val="844650224"/>
        <c:axId val="844652184"/>
      </c:barChart>
      <c:catAx>
        <c:axId val="844650224"/>
        <c:scaling>
          <c:orientation val="minMax"/>
        </c:scaling>
        <c:delete val="0"/>
        <c:axPos val="b"/>
        <c:numFmt formatCode="General" sourceLinked="0"/>
        <c:majorTickMark val="out"/>
        <c:minorTickMark val="none"/>
        <c:tickLblPos val="nextTo"/>
        <c:crossAx val="844652184"/>
        <c:crosses val="autoZero"/>
        <c:auto val="1"/>
        <c:lblAlgn val="ctr"/>
        <c:lblOffset val="100"/>
        <c:noMultiLvlLbl val="0"/>
      </c:catAx>
      <c:valAx>
        <c:axId val="844652184"/>
        <c:scaling>
          <c:orientation val="minMax"/>
        </c:scaling>
        <c:delete val="0"/>
        <c:axPos val="l"/>
        <c:majorGridlines/>
        <c:numFmt formatCode="General" sourceLinked="1"/>
        <c:majorTickMark val="out"/>
        <c:minorTickMark val="none"/>
        <c:tickLblPos val="nextTo"/>
        <c:crossAx val="844650224"/>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239650010715515E-2"/>
          <c:y val="5.8714110833646235E-2"/>
          <c:w val="0.61146343686205895"/>
          <c:h val="0.71923529502084704"/>
        </c:manualLayout>
      </c:layout>
      <c:barChart>
        <c:barDir val="col"/>
        <c:grouping val="clustered"/>
        <c:varyColors val="0"/>
        <c:ser>
          <c:idx val="0"/>
          <c:order val="0"/>
          <c:tx>
            <c:v>Projektētā slodze, CE</c:v>
          </c:tx>
          <c:spPr>
            <a:solidFill>
              <a:srgbClr val="00B050"/>
            </a:solidFill>
          </c:spPr>
          <c:invertIfNegative val="0"/>
          <c:cat>
            <c:strRef>
              <c:f>'Dati grafikiem-1'!$C$22:$C$37</c:f>
              <c:strCache>
                <c:ptCount val="16"/>
                <c:pt idx="0">
                  <c:v>Īslīce*</c:v>
                </c:pt>
                <c:pt idx="1">
                  <c:v>Jaunolaine*</c:v>
                </c:pt>
                <c:pt idx="2">
                  <c:v>Jaunpiebalga*</c:v>
                </c:pt>
                <c:pt idx="3">
                  <c:v>Kandava*</c:v>
                </c:pt>
                <c:pt idx="4">
                  <c:v>Kārsava*</c:v>
                </c:pt>
                <c:pt idx="5">
                  <c:v>Krāslava*</c:v>
                </c:pt>
                <c:pt idx="6">
                  <c:v>Ķegums*</c:v>
                </c:pt>
                <c:pt idx="7">
                  <c:v>Lielvārde*</c:v>
                </c:pt>
                <c:pt idx="8">
                  <c:v>Liepa*</c:v>
                </c:pt>
                <c:pt idx="9">
                  <c:v>Limbaži</c:v>
                </c:pt>
                <c:pt idx="10">
                  <c:v>Līvāni</c:v>
                </c:pt>
                <c:pt idx="11">
                  <c:v>Ludza</c:v>
                </c:pt>
                <c:pt idx="12">
                  <c:v>Malta*</c:v>
                </c:pt>
                <c:pt idx="13">
                  <c:v>Mālpils*</c:v>
                </c:pt>
                <c:pt idx="14">
                  <c:v>Ozolnieki*</c:v>
                </c:pt>
                <c:pt idx="15">
                  <c:v>Pļaviņas*</c:v>
                </c:pt>
              </c:strCache>
            </c:strRef>
          </c:cat>
          <c:val>
            <c:numRef>
              <c:f>'Dati grafikiem-1'!$E$22:$E$37</c:f>
              <c:numCache>
                <c:formatCode>General</c:formatCode>
                <c:ptCount val="16"/>
                <c:pt idx="0">
                  <c:v>3993</c:v>
                </c:pt>
                <c:pt idx="1">
                  <c:v>4300</c:v>
                </c:pt>
                <c:pt idx="2">
                  <c:v>2000</c:v>
                </c:pt>
                <c:pt idx="3">
                  <c:v>0</c:v>
                </c:pt>
                <c:pt idx="4">
                  <c:v>0</c:v>
                </c:pt>
                <c:pt idx="5">
                  <c:v>12864</c:v>
                </c:pt>
                <c:pt idx="6">
                  <c:v>1043</c:v>
                </c:pt>
                <c:pt idx="7">
                  <c:v>10000</c:v>
                </c:pt>
                <c:pt idx="8">
                  <c:v>2000</c:v>
                </c:pt>
                <c:pt idx="9">
                  <c:v>10000</c:v>
                </c:pt>
                <c:pt idx="10">
                  <c:v>10000</c:v>
                </c:pt>
                <c:pt idx="11">
                  <c:v>6194</c:v>
                </c:pt>
                <c:pt idx="12">
                  <c:v>1200</c:v>
                </c:pt>
                <c:pt idx="13">
                  <c:v>0</c:v>
                </c:pt>
                <c:pt idx="14">
                  <c:v>2000</c:v>
                </c:pt>
                <c:pt idx="15">
                  <c:v>3997</c:v>
                </c:pt>
              </c:numCache>
            </c:numRef>
          </c:val>
        </c:ser>
        <c:ser>
          <c:idx val="2"/>
          <c:order val="1"/>
          <c:tx>
            <c:v>2016. g. slodze, CE</c:v>
          </c:tx>
          <c:spPr>
            <a:solidFill>
              <a:srgbClr val="FFC000"/>
            </a:solidFill>
          </c:spPr>
          <c:invertIfNegative val="0"/>
          <c:cat>
            <c:strRef>
              <c:f>'Dati grafikiem-1'!$C$22:$C$37</c:f>
              <c:strCache>
                <c:ptCount val="16"/>
                <c:pt idx="0">
                  <c:v>Īslīce*</c:v>
                </c:pt>
                <c:pt idx="1">
                  <c:v>Jaunolaine*</c:v>
                </c:pt>
                <c:pt idx="2">
                  <c:v>Jaunpiebalga*</c:v>
                </c:pt>
                <c:pt idx="3">
                  <c:v>Kandava*</c:v>
                </c:pt>
                <c:pt idx="4">
                  <c:v>Kārsava*</c:v>
                </c:pt>
                <c:pt idx="5">
                  <c:v>Krāslava*</c:v>
                </c:pt>
                <c:pt idx="6">
                  <c:v>Ķegums*</c:v>
                </c:pt>
                <c:pt idx="7">
                  <c:v>Lielvārde*</c:v>
                </c:pt>
                <c:pt idx="8">
                  <c:v>Liepa*</c:v>
                </c:pt>
                <c:pt idx="9">
                  <c:v>Limbaži</c:v>
                </c:pt>
                <c:pt idx="10">
                  <c:v>Līvāni</c:v>
                </c:pt>
                <c:pt idx="11">
                  <c:v>Ludza</c:v>
                </c:pt>
                <c:pt idx="12">
                  <c:v>Malta*</c:v>
                </c:pt>
                <c:pt idx="13">
                  <c:v>Mālpils*</c:v>
                </c:pt>
                <c:pt idx="14">
                  <c:v>Ozolnieki*</c:v>
                </c:pt>
                <c:pt idx="15">
                  <c:v>Pļaviņas*</c:v>
                </c:pt>
              </c:strCache>
            </c:strRef>
          </c:cat>
          <c:val>
            <c:numRef>
              <c:f>'Dati grafikiem-1'!$I$22:$I$37</c:f>
              <c:numCache>
                <c:formatCode>General</c:formatCode>
                <c:ptCount val="16"/>
                <c:pt idx="0">
                  <c:v>1100</c:v>
                </c:pt>
                <c:pt idx="1">
                  <c:v>1883</c:v>
                </c:pt>
                <c:pt idx="2">
                  <c:v>2100</c:v>
                </c:pt>
                <c:pt idx="3">
                  <c:v>5450</c:v>
                </c:pt>
                <c:pt idx="4">
                  <c:v>417</c:v>
                </c:pt>
                <c:pt idx="5">
                  <c:v>10833</c:v>
                </c:pt>
                <c:pt idx="6">
                  <c:v>117</c:v>
                </c:pt>
                <c:pt idx="7">
                  <c:v>4900</c:v>
                </c:pt>
                <c:pt idx="8">
                  <c:v>1400</c:v>
                </c:pt>
                <c:pt idx="9">
                  <c:v>9800</c:v>
                </c:pt>
                <c:pt idx="10">
                  <c:v>4267</c:v>
                </c:pt>
                <c:pt idx="11">
                  <c:v>4433</c:v>
                </c:pt>
                <c:pt idx="12">
                  <c:v>433</c:v>
                </c:pt>
                <c:pt idx="13">
                  <c:v>350</c:v>
                </c:pt>
                <c:pt idx="14">
                  <c:v>2800</c:v>
                </c:pt>
                <c:pt idx="15">
                  <c:v>617</c:v>
                </c:pt>
              </c:numCache>
            </c:numRef>
          </c:val>
        </c:ser>
        <c:ser>
          <c:idx val="3"/>
          <c:order val="2"/>
          <c:tx>
            <c:v>2017. g. slodze, CE</c:v>
          </c:tx>
          <c:spPr>
            <a:solidFill>
              <a:srgbClr val="FFC000"/>
            </a:solidFill>
          </c:spPr>
          <c:invertIfNegative val="0"/>
          <c:cat>
            <c:strRef>
              <c:f>'Dati grafikiem-1'!$C$22:$C$37</c:f>
              <c:strCache>
                <c:ptCount val="16"/>
                <c:pt idx="0">
                  <c:v>Īslīce*</c:v>
                </c:pt>
                <c:pt idx="1">
                  <c:v>Jaunolaine*</c:v>
                </c:pt>
                <c:pt idx="2">
                  <c:v>Jaunpiebalga*</c:v>
                </c:pt>
                <c:pt idx="3">
                  <c:v>Kandava*</c:v>
                </c:pt>
                <c:pt idx="4">
                  <c:v>Kārsava*</c:v>
                </c:pt>
                <c:pt idx="5">
                  <c:v>Krāslava*</c:v>
                </c:pt>
                <c:pt idx="6">
                  <c:v>Ķegums*</c:v>
                </c:pt>
                <c:pt idx="7">
                  <c:v>Lielvārde*</c:v>
                </c:pt>
                <c:pt idx="8">
                  <c:v>Liepa*</c:v>
                </c:pt>
                <c:pt idx="9">
                  <c:v>Limbaži</c:v>
                </c:pt>
                <c:pt idx="10">
                  <c:v>Līvāni</c:v>
                </c:pt>
                <c:pt idx="11">
                  <c:v>Ludza</c:v>
                </c:pt>
                <c:pt idx="12">
                  <c:v>Malta*</c:v>
                </c:pt>
                <c:pt idx="13">
                  <c:v>Mālpils*</c:v>
                </c:pt>
                <c:pt idx="14">
                  <c:v>Ozolnieki*</c:v>
                </c:pt>
                <c:pt idx="15">
                  <c:v>Pļaviņas*</c:v>
                </c:pt>
              </c:strCache>
            </c:strRef>
          </c:cat>
          <c:val>
            <c:numRef>
              <c:f>'Dati grafikiem-1'!$J$22:$J$37</c:f>
              <c:numCache>
                <c:formatCode>General</c:formatCode>
                <c:ptCount val="16"/>
                <c:pt idx="0">
                  <c:v>5467</c:v>
                </c:pt>
                <c:pt idx="1">
                  <c:v>1783</c:v>
                </c:pt>
                <c:pt idx="2">
                  <c:v>2250</c:v>
                </c:pt>
                <c:pt idx="3">
                  <c:v>2667</c:v>
                </c:pt>
                <c:pt idx="4">
                  <c:v>1133</c:v>
                </c:pt>
                <c:pt idx="5">
                  <c:v>17217</c:v>
                </c:pt>
                <c:pt idx="6">
                  <c:v>200</c:v>
                </c:pt>
                <c:pt idx="7">
                  <c:v>8100</c:v>
                </c:pt>
                <c:pt idx="8">
                  <c:v>1783</c:v>
                </c:pt>
                <c:pt idx="9">
                  <c:v>8417</c:v>
                </c:pt>
                <c:pt idx="10">
                  <c:v>5183</c:v>
                </c:pt>
                <c:pt idx="11">
                  <c:v>3533</c:v>
                </c:pt>
                <c:pt idx="12">
                  <c:v>483</c:v>
                </c:pt>
                <c:pt idx="13">
                  <c:v>600</c:v>
                </c:pt>
                <c:pt idx="14">
                  <c:v>4833</c:v>
                </c:pt>
                <c:pt idx="15">
                  <c:v>433</c:v>
                </c:pt>
              </c:numCache>
            </c:numRef>
          </c:val>
        </c:ser>
        <c:ser>
          <c:idx val="4"/>
          <c:order val="3"/>
          <c:tx>
            <c:v>Sausā laika slodze 2018, CE</c:v>
          </c:tx>
          <c:spPr>
            <a:solidFill>
              <a:srgbClr val="FF0000"/>
            </a:solidFill>
          </c:spPr>
          <c:invertIfNegative val="0"/>
          <c:cat>
            <c:strRef>
              <c:f>'Dati grafikiem-1'!$C$22:$C$37</c:f>
              <c:strCache>
                <c:ptCount val="16"/>
                <c:pt idx="0">
                  <c:v>Īslīce*</c:v>
                </c:pt>
                <c:pt idx="1">
                  <c:v>Jaunolaine*</c:v>
                </c:pt>
                <c:pt idx="2">
                  <c:v>Jaunpiebalga*</c:v>
                </c:pt>
                <c:pt idx="3">
                  <c:v>Kandava*</c:v>
                </c:pt>
                <c:pt idx="4">
                  <c:v>Kārsava*</c:v>
                </c:pt>
                <c:pt idx="5">
                  <c:v>Krāslava*</c:v>
                </c:pt>
                <c:pt idx="6">
                  <c:v>Ķegums*</c:v>
                </c:pt>
                <c:pt idx="7">
                  <c:v>Lielvārde*</c:v>
                </c:pt>
                <c:pt idx="8">
                  <c:v>Liepa*</c:v>
                </c:pt>
                <c:pt idx="9">
                  <c:v>Limbaži</c:v>
                </c:pt>
                <c:pt idx="10">
                  <c:v>Līvāni</c:v>
                </c:pt>
                <c:pt idx="11">
                  <c:v>Ludza</c:v>
                </c:pt>
                <c:pt idx="12">
                  <c:v>Malta*</c:v>
                </c:pt>
                <c:pt idx="13">
                  <c:v>Mālpils*</c:v>
                </c:pt>
                <c:pt idx="14">
                  <c:v>Ozolnieki*</c:v>
                </c:pt>
                <c:pt idx="15">
                  <c:v>Pļaviņas*</c:v>
                </c:pt>
              </c:strCache>
            </c:strRef>
          </c:cat>
          <c:val>
            <c:numRef>
              <c:f>'Dati grafikiem-1'!$K$22:$K$37</c:f>
              <c:numCache>
                <c:formatCode>General</c:formatCode>
                <c:ptCount val="16"/>
                <c:pt idx="0">
                  <c:v>3920</c:v>
                </c:pt>
                <c:pt idx="1">
                  <c:v>9450</c:v>
                </c:pt>
                <c:pt idx="2">
                  <c:v>2750</c:v>
                </c:pt>
                <c:pt idx="3">
                  <c:v>1920</c:v>
                </c:pt>
                <c:pt idx="4">
                  <c:v>615</c:v>
                </c:pt>
                <c:pt idx="5">
                  <c:v>6480</c:v>
                </c:pt>
                <c:pt idx="6">
                  <c:v>1430</c:v>
                </c:pt>
                <c:pt idx="7">
                  <c:v>13167</c:v>
                </c:pt>
                <c:pt idx="8">
                  <c:v>4180</c:v>
                </c:pt>
                <c:pt idx="9">
                  <c:v>15667</c:v>
                </c:pt>
                <c:pt idx="10">
                  <c:v>4333</c:v>
                </c:pt>
                <c:pt idx="11">
                  <c:v>3675</c:v>
                </c:pt>
                <c:pt idx="12">
                  <c:v>715</c:v>
                </c:pt>
                <c:pt idx="13">
                  <c:v>5700</c:v>
                </c:pt>
                <c:pt idx="14">
                  <c:v>4667</c:v>
                </c:pt>
                <c:pt idx="15">
                  <c:v>675</c:v>
                </c:pt>
              </c:numCache>
            </c:numRef>
          </c:val>
        </c:ser>
        <c:dLbls>
          <c:showLegendKey val="0"/>
          <c:showVal val="0"/>
          <c:showCatName val="0"/>
          <c:showSerName val="0"/>
          <c:showPercent val="0"/>
          <c:showBubbleSize val="0"/>
        </c:dLbls>
        <c:gapWidth val="150"/>
        <c:axId val="844652968"/>
        <c:axId val="844653360"/>
      </c:barChart>
      <c:catAx>
        <c:axId val="844652968"/>
        <c:scaling>
          <c:orientation val="minMax"/>
        </c:scaling>
        <c:delete val="0"/>
        <c:axPos val="b"/>
        <c:numFmt formatCode="General" sourceLinked="0"/>
        <c:majorTickMark val="out"/>
        <c:minorTickMark val="none"/>
        <c:tickLblPos val="nextTo"/>
        <c:crossAx val="844653360"/>
        <c:crosses val="autoZero"/>
        <c:auto val="1"/>
        <c:lblAlgn val="ctr"/>
        <c:lblOffset val="100"/>
        <c:noMultiLvlLbl val="0"/>
      </c:catAx>
      <c:valAx>
        <c:axId val="844653360"/>
        <c:scaling>
          <c:orientation val="minMax"/>
        </c:scaling>
        <c:delete val="0"/>
        <c:axPos val="l"/>
        <c:majorGridlines/>
        <c:numFmt formatCode="General" sourceLinked="1"/>
        <c:majorTickMark val="out"/>
        <c:minorTickMark val="none"/>
        <c:tickLblPos val="nextTo"/>
        <c:crossAx val="84465296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239650010715515E-2"/>
          <c:y val="6.5805052156106797E-2"/>
          <c:w val="0.61132965150189555"/>
          <c:h val="0.72609592033578674"/>
        </c:manualLayout>
      </c:layout>
      <c:barChart>
        <c:barDir val="col"/>
        <c:grouping val="clustered"/>
        <c:varyColors val="0"/>
        <c:ser>
          <c:idx val="0"/>
          <c:order val="0"/>
          <c:tx>
            <c:v>Projektētā slodze, CE</c:v>
          </c:tx>
          <c:spPr>
            <a:solidFill>
              <a:srgbClr val="00B050"/>
            </a:solidFill>
          </c:spPr>
          <c:invertIfNegative val="0"/>
          <c:cat>
            <c:strRef>
              <c:f>'Dati grafikiem-1'!$C$38:$C$54</c:f>
              <c:strCache>
                <c:ptCount val="17"/>
                <c:pt idx="0">
                  <c:v>Preiļi</c:v>
                </c:pt>
                <c:pt idx="1">
                  <c:v>Priekule</c:v>
                </c:pt>
                <c:pt idx="2">
                  <c:v>Priekuļi*</c:v>
                </c:pt>
                <c:pt idx="3">
                  <c:v>Roja*</c:v>
                </c:pt>
                <c:pt idx="4">
                  <c:v>Rūjiena*</c:v>
                </c:pt>
                <c:pt idx="5">
                  <c:v>Salacgrīva*</c:v>
                </c:pt>
                <c:pt idx="6">
                  <c:v>Saulkrasti*</c:v>
                </c:pt>
                <c:pt idx="7">
                  <c:v>Skrīveri</c:v>
                </c:pt>
                <c:pt idx="8">
                  <c:v>Skrunda</c:v>
                </c:pt>
                <c:pt idx="9">
                  <c:v>Smiltene</c:v>
                </c:pt>
                <c:pt idx="10">
                  <c:v>Stende*</c:v>
                </c:pt>
                <c:pt idx="11">
                  <c:v>Ulbroka*</c:v>
                </c:pt>
                <c:pt idx="12">
                  <c:v>Valka</c:v>
                </c:pt>
                <c:pt idx="13">
                  <c:v>Vangaži*</c:v>
                </c:pt>
                <c:pt idx="14">
                  <c:v>Varakļāni</c:v>
                </c:pt>
                <c:pt idx="15">
                  <c:v>Vecumnieki*</c:v>
                </c:pt>
                <c:pt idx="16">
                  <c:v>Viļāni*</c:v>
                </c:pt>
              </c:strCache>
            </c:strRef>
          </c:cat>
          <c:val>
            <c:numRef>
              <c:f>'Dati grafikiem-1'!$E$38:$E$54</c:f>
              <c:numCache>
                <c:formatCode>General</c:formatCode>
                <c:ptCount val="17"/>
                <c:pt idx="0">
                  <c:v>8286</c:v>
                </c:pt>
                <c:pt idx="1">
                  <c:v>2677</c:v>
                </c:pt>
                <c:pt idx="2">
                  <c:v>0</c:v>
                </c:pt>
                <c:pt idx="3">
                  <c:v>6250</c:v>
                </c:pt>
                <c:pt idx="4">
                  <c:v>2100</c:v>
                </c:pt>
                <c:pt idx="5">
                  <c:v>3832</c:v>
                </c:pt>
                <c:pt idx="6">
                  <c:v>8400</c:v>
                </c:pt>
                <c:pt idx="7">
                  <c:v>3414</c:v>
                </c:pt>
                <c:pt idx="8">
                  <c:v>480</c:v>
                </c:pt>
                <c:pt idx="9">
                  <c:v>8166</c:v>
                </c:pt>
                <c:pt idx="10">
                  <c:v>234</c:v>
                </c:pt>
                <c:pt idx="11">
                  <c:v>3781</c:v>
                </c:pt>
                <c:pt idx="12">
                  <c:v>7127</c:v>
                </c:pt>
                <c:pt idx="13">
                  <c:v>1674</c:v>
                </c:pt>
                <c:pt idx="14">
                  <c:v>1193</c:v>
                </c:pt>
                <c:pt idx="15">
                  <c:v>2700</c:v>
                </c:pt>
                <c:pt idx="16">
                  <c:v>1860</c:v>
                </c:pt>
              </c:numCache>
            </c:numRef>
          </c:val>
        </c:ser>
        <c:ser>
          <c:idx val="2"/>
          <c:order val="1"/>
          <c:tx>
            <c:v>2016. g. slodze,CE</c:v>
          </c:tx>
          <c:spPr>
            <a:solidFill>
              <a:srgbClr val="FFC000"/>
            </a:solidFill>
          </c:spPr>
          <c:invertIfNegative val="0"/>
          <c:cat>
            <c:strRef>
              <c:f>'Dati grafikiem-1'!$C$38:$C$54</c:f>
              <c:strCache>
                <c:ptCount val="17"/>
                <c:pt idx="0">
                  <c:v>Preiļi</c:v>
                </c:pt>
                <c:pt idx="1">
                  <c:v>Priekule</c:v>
                </c:pt>
                <c:pt idx="2">
                  <c:v>Priekuļi*</c:v>
                </c:pt>
                <c:pt idx="3">
                  <c:v>Roja*</c:v>
                </c:pt>
                <c:pt idx="4">
                  <c:v>Rūjiena*</c:v>
                </c:pt>
                <c:pt idx="5">
                  <c:v>Salacgrīva*</c:v>
                </c:pt>
                <c:pt idx="6">
                  <c:v>Saulkrasti*</c:v>
                </c:pt>
                <c:pt idx="7">
                  <c:v>Skrīveri</c:v>
                </c:pt>
                <c:pt idx="8">
                  <c:v>Skrunda</c:v>
                </c:pt>
                <c:pt idx="9">
                  <c:v>Smiltene</c:v>
                </c:pt>
                <c:pt idx="10">
                  <c:v>Stende*</c:v>
                </c:pt>
                <c:pt idx="11">
                  <c:v>Ulbroka*</c:v>
                </c:pt>
                <c:pt idx="12">
                  <c:v>Valka</c:v>
                </c:pt>
                <c:pt idx="13">
                  <c:v>Vangaži*</c:v>
                </c:pt>
                <c:pt idx="14">
                  <c:v>Varakļāni</c:v>
                </c:pt>
                <c:pt idx="15">
                  <c:v>Vecumnieki*</c:v>
                </c:pt>
                <c:pt idx="16">
                  <c:v>Viļāni*</c:v>
                </c:pt>
              </c:strCache>
            </c:strRef>
          </c:cat>
          <c:val>
            <c:numRef>
              <c:f>'Dati grafikiem-1'!$I$38:$I$54</c:f>
              <c:numCache>
                <c:formatCode>General</c:formatCode>
                <c:ptCount val="17"/>
                <c:pt idx="0">
                  <c:v>4983</c:v>
                </c:pt>
                <c:pt idx="1">
                  <c:v>6733</c:v>
                </c:pt>
                <c:pt idx="2">
                  <c:v>0</c:v>
                </c:pt>
                <c:pt idx="3">
                  <c:v>3967</c:v>
                </c:pt>
                <c:pt idx="4">
                  <c:v>1983</c:v>
                </c:pt>
                <c:pt idx="5">
                  <c:v>950</c:v>
                </c:pt>
                <c:pt idx="6">
                  <c:v>1300</c:v>
                </c:pt>
                <c:pt idx="7">
                  <c:v>317</c:v>
                </c:pt>
                <c:pt idx="8">
                  <c:v>1233</c:v>
                </c:pt>
                <c:pt idx="9">
                  <c:v>3683</c:v>
                </c:pt>
                <c:pt idx="10">
                  <c:v>550</c:v>
                </c:pt>
                <c:pt idx="11">
                  <c:v>2883</c:v>
                </c:pt>
                <c:pt idx="12">
                  <c:v>3100</c:v>
                </c:pt>
                <c:pt idx="13">
                  <c:v>1850</c:v>
                </c:pt>
                <c:pt idx="14">
                  <c:v>1283</c:v>
                </c:pt>
                <c:pt idx="15">
                  <c:v>900</c:v>
                </c:pt>
                <c:pt idx="16">
                  <c:v>617</c:v>
                </c:pt>
              </c:numCache>
            </c:numRef>
          </c:val>
        </c:ser>
        <c:ser>
          <c:idx val="3"/>
          <c:order val="2"/>
          <c:tx>
            <c:v>2017. g. slodze,CE</c:v>
          </c:tx>
          <c:spPr>
            <a:solidFill>
              <a:srgbClr val="FFC000"/>
            </a:solidFill>
          </c:spPr>
          <c:invertIfNegative val="0"/>
          <c:cat>
            <c:strRef>
              <c:f>'Dati grafikiem-1'!$C$38:$C$54</c:f>
              <c:strCache>
                <c:ptCount val="17"/>
                <c:pt idx="0">
                  <c:v>Preiļi</c:v>
                </c:pt>
                <c:pt idx="1">
                  <c:v>Priekule</c:v>
                </c:pt>
                <c:pt idx="2">
                  <c:v>Priekuļi*</c:v>
                </c:pt>
                <c:pt idx="3">
                  <c:v>Roja*</c:v>
                </c:pt>
                <c:pt idx="4">
                  <c:v>Rūjiena*</c:v>
                </c:pt>
                <c:pt idx="5">
                  <c:v>Salacgrīva*</c:v>
                </c:pt>
                <c:pt idx="6">
                  <c:v>Saulkrasti*</c:v>
                </c:pt>
                <c:pt idx="7">
                  <c:v>Skrīveri</c:v>
                </c:pt>
                <c:pt idx="8">
                  <c:v>Skrunda</c:v>
                </c:pt>
                <c:pt idx="9">
                  <c:v>Smiltene</c:v>
                </c:pt>
                <c:pt idx="10">
                  <c:v>Stende*</c:v>
                </c:pt>
                <c:pt idx="11">
                  <c:v>Ulbroka*</c:v>
                </c:pt>
                <c:pt idx="12">
                  <c:v>Valka</c:v>
                </c:pt>
                <c:pt idx="13">
                  <c:v>Vangaži*</c:v>
                </c:pt>
                <c:pt idx="14">
                  <c:v>Varakļāni</c:v>
                </c:pt>
                <c:pt idx="15">
                  <c:v>Vecumnieki*</c:v>
                </c:pt>
                <c:pt idx="16">
                  <c:v>Viļāni*</c:v>
                </c:pt>
              </c:strCache>
            </c:strRef>
          </c:cat>
          <c:val>
            <c:numRef>
              <c:f>'Dati grafikiem-1'!$J$38:$J$54</c:f>
              <c:numCache>
                <c:formatCode>General</c:formatCode>
                <c:ptCount val="17"/>
                <c:pt idx="0">
                  <c:v>5117</c:v>
                </c:pt>
                <c:pt idx="1">
                  <c:v>1117</c:v>
                </c:pt>
                <c:pt idx="2">
                  <c:v>0</c:v>
                </c:pt>
                <c:pt idx="3">
                  <c:v>2017</c:v>
                </c:pt>
                <c:pt idx="4">
                  <c:v>1950</c:v>
                </c:pt>
                <c:pt idx="5">
                  <c:v>1367</c:v>
                </c:pt>
                <c:pt idx="6">
                  <c:v>1617</c:v>
                </c:pt>
                <c:pt idx="7">
                  <c:v>167</c:v>
                </c:pt>
                <c:pt idx="8">
                  <c:v>950</c:v>
                </c:pt>
                <c:pt idx="9">
                  <c:v>5683</c:v>
                </c:pt>
                <c:pt idx="10">
                  <c:v>0</c:v>
                </c:pt>
                <c:pt idx="11">
                  <c:v>2833</c:v>
                </c:pt>
                <c:pt idx="12">
                  <c:v>3917</c:v>
                </c:pt>
                <c:pt idx="13">
                  <c:v>3150</c:v>
                </c:pt>
                <c:pt idx="14">
                  <c:v>3983</c:v>
                </c:pt>
                <c:pt idx="15">
                  <c:v>1083</c:v>
                </c:pt>
                <c:pt idx="16">
                  <c:v>450</c:v>
                </c:pt>
              </c:numCache>
            </c:numRef>
          </c:val>
        </c:ser>
        <c:ser>
          <c:idx val="4"/>
          <c:order val="3"/>
          <c:tx>
            <c:v>Sausā laika slodze 2018, CE</c:v>
          </c:tx>
          <c:spPr>
            <a:solidFill>
              <a:srgbClr val="FF0000"/>
            </a:solidFill>
          </c:spPr>
          <c:invertIfNegative val="0"/>
          <c:cat>
            <c:strRef>
              <c:f>'Dati grafikiem-1'!$C$38:$C$54</c:f>
              <c:strCache>
                <c:ptCount val="17"/>
                <c:pt idx="0">
                  <c:v>Preiļi</c:v>
                </c:pt>
                <c:pt idx="1">
                  <c:v>Priekule</c:v>
                </c:pt>
                <c:pt idx="2">
                  <c:v>Priekuļi*</c:v>
                </c:pt>
                <c:pt idx="3">
                  <c:v>Roja*</c:v>
                </c:pt>
                <c:pt idx="4">
                  <c:v>Rūjiena*</c:v>
                </c:pt>
                <c:pt idx="5">
                  <c:v>Salacgrīva*</c:v>
                </c:pt>
                <c:pt idx="6">
                  <c:v>Saulkrasti*</c:v>
                </c:pt>
                <c:pt idx="7">
                  <c:v>Skrīveri</c:v>
                </c:pt>
                <c:pt idx="8">
                  <c:v>Skrunda</c:v>
                </c:pt>
                <c:pt idx="9">
                  <c:v>Smiltene</c:v>
                </c:pt>
                <c:pt idx="10">
                  <c:v>Stende*</c:v>
                </c:pt>
                <c:pt idx="11">
                  <c:v>Ulbroka*</c:v>
                </c:pt>
                <c:pt idx="12">
                  <c:v>Valka</c:v>
                </c:pt>
                <c:pt idx="13">
                  <c:v>Vangaži*</c:v>
                </c:pt>
                <c:pt idx="14">
                  <c:v>Varakļāni</c:v>
                </c:pt>
                <c:pt idx="15">
                  <c:v>Vecumnieki*</c:v>
                </c:pt>
                <c:pt idx="16">
                  <c:v>Viļāni*</c:v>
                </c:pt>
              </c:strCache>
            </c:strRef>
          </c:cat>
          <c:val>
            <c:numRef>
              <c:f>'Dati grafikiem-1'!$K$38:$K$54</c:f>
              <c:numCache>
                <c:formatCode>General</c:formatCode>
                <c:ptCount val="17"/>
                <c:pt idx="0">
                  <c:v>5067</c:v>
                </c:pt>
                <c:pt idx="1">
                  <c:v>1338</c:v>
                </c:pt>
                <c:pt idx="2">
                  <c:v>0</c:v>
                </c:pt>
                <c:pt idx="3">
                  <c:v>8500</c:v>
                </c:pt>
                <c:pt idx="4">
                  <c:v>1542</c:v>
                </c:pt>
                <c:pt idx="5">
                  <c:v>189</c:v>
                </c:pt>
                <c:pt idx="6">
                  <c:v>2007</c:v>
                </c:pt>
                <c:pt idx="7">
                  <c:v>935</c:v>
                </c:pt>
                <c:pt idx="8">
                  <c:v>667</c:v>
                </c:pt>
                <c:pt idx="9">
                  <c:v>4667</c:v>
                </c:pt>
                <c:pt idx="10">
                  <c:v>300</c:v>
                </c:pt>
                <c:pt idx="11">
                  <c:v>3293</c:v>
                </c:pt>
                <c:pt idx="12">
                  <c:v>3483</c:v>
                </c:pt>
                <c:pt idx="13">
                  <c:v>9245</c:v>
                </c:pt>
                <c:pt idx="14">
                  <c:v>1307</c:v>
                </c:pt>
                <c:pt idx="15">
                  <c:v>1653</c:v>
                </c:pt>
                <c:pt idx="16">
                  <c:v>2795</c:v>
                </c:pt>
              </c:numCache>
            </c:numRef>
          </c:val>
        </c:ser>
        <c:dLbls>
          <c:showLegendKey val="0"/>
          <c:showVal val="0"/>
          <c:showCatName val="0"/>
          <c:showSerName val="0"/>
          <c:showPercent val="0"/>
          <c:showBubbleSize val="0"/>
        </c:dLbls>
        <c:gapWidth val="150"/>
        <c:axId val="844654144"/>
        <c:axId val="844654536"/>
      </c:barChart>
      <c:catAx>
        <c:axId val="844654144"/>
        <c:scaling>
          <c:orientation val="minMax"/>
        </c:scaling>
        <c:delete val="0"/>
        <c:axPos val="b"/>
        <c:numFmt formatCode="General" sourceLinked="0"/>
        <c:majorTickMark val="out"/>
        <c:minorTickMark val="none"/>
        <c:tickLblPos val="nextTo"/>
        <c:crossAx val="844654536"/>
        <c:crosses val="autoZero"/>
        <c:auto val="1"/>
        <c:lblAlgn val="ctr"/>
        <c:lblOffset val="100"/>
        <c:noMultiLvlLbl val="0"/>
      </c:catAx>
      <c:valAx>
        <c:axId val="844654536"/>
        <c:scaling>
          <c:orientation val="minMax"/>
        </c:scaling>
        <c:delete val="0"/>
        <c:axPos val="l"/>
        <c:majorGridlines/>
        <c:numFmt formatCode="General" sourceLinked="1"/>
        <c:majorTickMark val="out"/>
        <c:minorTickMark val="none"/>
        <c:tickLblPos val="nextTo"/>
        <c:crossAx val="8446541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5A558-155C-403E-A0ED-49BDBDF1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23604</Words>
  <Characters>13455</Characters>
  <Application>Microsoft Office Word</Application>
  <DocSecurity>0</DocSecurity>
  <Lines>112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Jansons</dc:creator>
  <cp:lastModifiedBy>Ilona Vilne</cp:lastModifiedBy>
  <cp:revision>2</cp:revision>
  <cp:lastPrinted>2017-12-18T09:27:00Z</cp:lastPrinted>
  <dcterms:created xsi:type="dcterms:W3CDTF">2018-12-13T09:13:00Z</dcterms:created>
  <dcterms:modified xsi:type="dcterms:W3CDTF">2018-12-13T09:13:00Z</dcterms:modified>
</cp:coreProperties>
</file>