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EF26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Joint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actions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more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efficient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common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resources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WaterAct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)</w:t>
      </w:r>
    </w:p>
    <w:p w14:paraId="473D320F" w14:textId="4CD1F3F5" w:rsidR="00643FAF" w:rsidRPr="00643FAF" w:rsidRDefault="00643FAF" w:rsidP="00643FA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643FA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44B713C" wp14:editId="285B2CC9">
            <wp:extent cx="3295650" cy="1162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53" cy="116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643AB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State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limited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Liability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Company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Geology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Meteorology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Centre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(LEGMC) starts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WaterAct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  Project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being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implemented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support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Interreg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V-A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-Latvia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cross-border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cooperation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2014-2020.</w:t>
      </w:r>
    </w:p>
    <w:p w14:paraId="184E9EE9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Need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WaterAct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project</w:t>
      </w:r>
      <w:proofErr w:type="spellEnd"/>
    </w:p>
    <w:p w14:paraId="1B33156E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Within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framework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close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co-operation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continue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between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Estonian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involved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preparation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River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Basin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Plans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order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improve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efficiency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joint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transboundary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area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Joint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transboundary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Gauja-Koiva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Salaca-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Salatsi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river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basins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necessary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both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countries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implement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requirements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policy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Framework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Directive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2000/60/EC).</w:t>
      </w:r>
    </w:p>
    <w:p w14:paraId="11C9ED10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important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strengthening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-Estonian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cross-border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cooperation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This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ensure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harmonized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approach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assessment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status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bodies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-Estonian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cross-border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area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thus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ensuring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long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-term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protection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drinking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A9838F6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Aim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project</w:t>
      </w:r>
      <w:proofErr w:type="spellEnd"/>
    </w:p>
    <w:p w14:paraId="0CCDE70C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aims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promote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shared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transboundary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area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goal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achieved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(1)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common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approach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status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assessment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bodies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(2) 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implementation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testing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approach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-Estonian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transboundary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Gauja-Koiva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Salaca-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Salatsi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river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basin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districts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(3)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common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understanding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about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dependent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ecosystem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(4)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raising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awareness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interest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protection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2257B3E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main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tasks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02F5E919" w14:textId="77777777" w:rsidR="00643FAF" w:rsidRPr="00643FAF" w:rsidRDefault="00643FAF" w:rsidP="00643FAF">
      <w:pPr>
        <w:pStyle w:val="ListParagraph"/>
        <w:rPr>
          <w:rFonts w:ascii="Times New Roman" w:hAnsi="Times New Roman" w:cs="Times New Roman"/>
          <w:sz w:val="24"/>
          <w:szCs w:val="24"/>
          <w:lang w:eastAsia="lv-LV"/>
        </w:rPr>
      </w:pPr>
      <w:r w:rsidRPr="00643FAF">
        <w:rPr>
          <w:rFonts w:ascii="Times New Roman" w:hAnsi="Times New Roman" w:cs="Times New Roman"/>
          <w:sz w:val="24"/>
          <w:szCs w:val="24"/>
          <w:lang w:eastAsia="lv-LV"/>
        </w:rPr>
        <w:t>1.    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overall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capacity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building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through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exchange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knowledge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good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practices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between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partners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experts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other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EU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countries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;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  <w:t>2.    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assessment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shared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resources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Gauja-Koiva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Salaca-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Salatsi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river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basins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improve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long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-term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ensure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implementation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binding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EU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directives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;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  <w:t>3.    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dissemination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information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activities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raise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awareness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among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public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organizations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about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protection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associated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ecosystems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2EFC02F4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Following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activities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will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be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performed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within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08ECC439" w14:textId="713EA10E" w:rsidR="00643FAF" w:rsidRPr="00643FAF" w:rsidRDefault="00643FAF" w:rsidP="00643F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Experience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exchange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between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partners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improvement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knowledge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base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analyzing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requirements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EU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water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policy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experience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other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EU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Member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States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including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attendance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conferences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);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</w:r>
    </w:p>
    <w:p w14:paraId="3AA78A14" w14:textId="1D0135AA" w:rsidR="00643FAF" w:rsidRPr="00643FAF" w:rsidRDefault="00643FAF" w:rsidP="00643F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tools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needs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training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using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R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programming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language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);</w:t>
      </w:r>
    </w:p>
    <w:p w14:paraId="1CB761E9" w14:textId="77777777" w:rsidR="00643FAF" w:rsidRPr="00643FAF" w:rsidRDefault="00643FAF" w:rsidP="00643F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assessment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status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transboundary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bodies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using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harmonized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principles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tools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developed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within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;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</w:r>
    </w:p>
    <w:p w14:paraId="5529E626" w14:textId="77777777" w:rsidR="00643FAF" w:rsidRPr="00643FAF" w:rsidRDefault="00643FAF" w:rsidP="00643F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transboundary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monitoring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strategy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Gauja-Koiva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Salaca-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Salatsi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river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basins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;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</w:r>
    </w:p>
    <w:p w14:paraId="6009BD31" w14:textId="77777777" w:rsidR="00643FAF" w:rsidRPr="00643FAF" w:rsidRDefault="00643FAF" w:rsidP="00643F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spring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monitoring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optimization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catchment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;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</w:r>
    </w:p>
    <w:p w14:paraId="66BA5770" w14:textId="77777777" w:rsidR="00643FAF" w:rsidRPr="00643FAF" w:rsidRDefault="00643FAF" w:rsidP="00643F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guide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habitat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experts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identification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assessment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dependent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ecosystems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including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field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approbation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guide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);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</w:r>
    </w:p>
    <w:p w14:paraId="150A1E31" w14:textId="38E28FFB" w:rsidR="00643FAF" w:rsidRPr="00643FAF" w:rsidRDefault="00643FAF" w:rsidP="00643F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implementation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public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spring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monitoring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creation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online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platform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including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social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campaigns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public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involvement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).</w:t>
      </w:r>
    </w:p>
    <w:p w14:paraId="4034F639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results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used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needs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3rd period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River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Basin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District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Plans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(2022-2027).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strategy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used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national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groundwater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monitoring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Latvia.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results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disseminated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websites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social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networks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partners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AD6B9EE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Project </w:t>
      </w:r>
      <w:proofErr w:type="spellStart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partners</w:t>
      </w:r>
      <w:proofErr w:type="spellEnd"/>
      <w:r w:rsidRPr="00643F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2AA7B568" w14:textId="79118BD8" w:rsidR="00643FAF" w:rsidRPr="00643FAF" w:rsidRDefault="00643FAF" w:rsidP="00643FAF">
      <w:pPr>
        <w:pStyle w:val="ListParagraph"/>
        <w:ind w:left="960"/>
        <w:rPr>
          <w:rFonts w:ascii="Times New Roman" w:hAnsi="Times New Roman" w:cs="Times New Roman"/>
          <w:sz w:val="24"/>
          <w:szCs w:val="24"/>
          <w:lang w:eastAsia="lv-LV"/>
        </w:rPr>
      </w:pPr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•   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Geology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Meteorology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Centre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Hydrogeology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Division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lead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partner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t>(LV)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  <w:t xml:space="preserve">•   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Ministry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Republic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Keskkonnaministeerium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) (EE)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  <w:t xml:space="preserve">•   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Geological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Survey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Eesti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Geoloogiateenistus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) (EE)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  <w:t xml:space="preserve">•   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Tallinn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University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Institute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Ecology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Tallinna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Ülikool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) (EE)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  <w:t xml:space="preserve">•    Nature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Conservation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Agency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, Nature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Protection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Department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(LV)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  <w:t xml:space="preserve">•   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University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Latvia,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Geography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Earth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(LV)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  <w:t xml:space="preserve">•    Vidzeme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Region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(LV)</w:t>
      </w:r>
      <w:r w:rsidRPr="00643FAF">
        <w:rPr>
          <w:rFonts w:ascii="Times New Roman" w:hAnsi="Times New Roman" w:cs="Times New Roman"/>
          <w:sz w:val="24"/>
          <w:szCs w:val="24"/>
          <w:lang w:eastAsia="lv-LV"/>
        </w:rPr>
        <w:br/>
        <w:t xml:space="preserve">•    Estonian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Agency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43FAF">
        <w:rPr>
          <w:rFonts w:ascii="Times New Roman" w:hAnsi="Times New Roman" w:cs="Times New Roman"/>
          <w:sz w:val="24"/>
          <w:szCs w:val="24"/>
          <w:lang w:eastAsia="lv-LV"/>
        </w:rPr>
        <w:t>Keskkonnaagentuur</w:t>
      </w:r>
      <w:proofErr w:type="spellEnd"/>
      <w:r w:rsidRPr="00643FAF">
        <w:rPr>
          <w:rFonts w:ascii="Times New Roman" w:hAnsi="Times New Roman" w:cs="Times New Roman"/>
          <w:sz w:val="24"/>
          <w:szCs w:val="24"/>
          <w:lang w:eastAsia="lv-LV"/>
        </w:rPr>
        <w:t>) (EE)</w:t>
      </w:r>
    </w:p>
    <w:p w14:paraId="7EE7175E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Total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budget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411 764.76.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Interreg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V-A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-Latvia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cross-border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cooperation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contributes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350 000 EUR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partners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’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self-contribution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61 764.76. Project No. Est-Lat155.</w:t>
      </w:r>
    </w:p>
    <w:p w14:paraId="02786105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Project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duration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months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(01.06.2020.-31.05.2022.)</w:t>
      </w:r>
    </w:p>
    <w:p w14:paraId="5F2EB7A2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Project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contact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: Inga Retike (</w:t>
      </w:r>
      <w:hyperlink r:id="rId6" w:history="1">
        <w:r w:rsidRPr="00643F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inga.retike@lvgmc.lv</w:t>
        </w:r>
      </w:hyperlink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1E47B240" w14:textId="77777777" w:rsidR="00643FAF" w:rsidRPr="00643FAF" w:rsidRDefault="00643FAF" w:rsidP="00643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WaterAct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financed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Interreg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V-A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-Latvia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Cross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border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cooperation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2014-2020. More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information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about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available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7" w:tgtFrame="_blank" w:history="1">
        <w:r w:rsidRPr="00643F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www.estlat.eu</w:t>
        </w:r>
      </w:hyperlink>
      <w:r w:rsidRPr="00643F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04A11CD" w14:textId="77777777" w:rsidR="00643FAF" w:rsidRPr="00643FAF" w:rsidRDefault="00643FAF" w:rsidP="00643FAF">
      <w:pPr>
        <w:pStyle w:val="NormalWeb"/>
        <w:spacing w:before="0" w:beforeAutospacing="0" w:after="0" w:afterAutospacing="0" w:line="300" w:lineRule="atLeast"/>
        <w:jc w:val="both"/>
        <w:textAlignment w:val="baseline"/>
      </w:pPr>
      <w:r w:rsidRPr="00643FAF">
        <w:t xml:space="preserve">Project manager and contact person: </w:t>
      </w:r>
      <w:r w:rsidRPr="00643FAF">
        <w:rPr>
          <w:lang w:val="lv-LV"/>
        </w:rPr>
        <w:t>Aiga Krauze</w:t>
      </w:r>
      <w:r w:rsidRPr="00643FAF">
        <w:t xml:space="preserve"> (</w:t>
      </w:r>
      <w:hyperlink r:id="rId8" w:history="1">
        <w:r w:rsidRPr="00643FAF">
          <w:rPr>
            <w:rStyle w:val="Hyperlink"/>
            <w:color w:val="auto"/>
            <w:bdr w:val="none" w:sz="0" w:space="0" w:color="auto" w:frame="1"/>
            <w:lang w:val="lv-LV"/>
          </w:rPr>
          <w:t>aiga.krauze</w:t>
        </w:r>
        <w:r w:rsidRPr="00643FAF">
          <w:rPr>
            <w:rStyle w:val="Hyperlink"/>
            <w:color w:val="auto"/>
            <w:bdr w:val="none" w:sz="0" w:space="0" w:color="auto" w:frame="1"/>
          </w:rPr>
          <w:t>@lvgmc.lv</w:t>
        </w:r>
      </w:hyperlink>
      <w:r w:rsidRPr="00643FAF">
        <w:t>)</w:t>
      </w:r>
    </w:p>
    <w:p w14:paraId="0499AFE1" w14:textId="77777777" w:rsidR="00643FAF" w:rsidRPr="00643FAF" w:rsidRDefault="00643FAF" w:rsidP="00643FAF">
      <w:pPr>
        <w:pStyle w:val="NormalWeb"/>
        <w:spacing w:before="0" w:beforeAutospacing="0" w:after="0" w:afterAutospacing="0" w:line="300" w:lineRule="atLeast"/>
        <w:jc w:val="both"/>
        <w:textAlignment w:val="baseline"/>
      </w:pPr>
      <w:r w:rsidRPr="00643FAF">
        <w:lastRenderedPageBreak/>
        <w:t>WaterAct is financed from Interreg V-A Estonia-Latvia Cross - border cooperation programme 2014-2020. More information about the programme is available at </w:t>
      </w:r>
      <w:hyperlink r:id="rId9" w:tgtFrame="_blank" w:history="1">
        <w:r w:rsidRPr="00643FAF">
          <w:rPr>
            <w:rStyle w:val="Hyperlink"/>
            <w:color w:val="auto"/>
            <w:bdr w:val="none" w:sz="0" w:space="0" w:color="auto" w:frame="1"/>
          </w:rPr>
          <w:t>www.estlat.eu</w:t>
        </w:r>
      </w:hyperlink>
      <w:r w:rsidRPr="00643FAF">
        <w:t>.</w:t>
      </w:r>
    </w:p>
    <w:p w14:paraId="16FD0C61" w14:textId="77777777" w:rsidR="00643FAF" w:rsidRPr="00643FAF" w:rsidRDefault="00643FAF" w:rsidP="00643FAF">
      <w:pPr>
        <w:pStyle w:val="NormalWeb"/>
        <w:spacing w:before="0" w:beforeAutospacing="0" w:after="0" w:afterAutospacing="0" w:line="300" w:lineRule="atLeast"/>
        <w:jc w:val="both"/>
        <w:textAlignment w:val="baseline"/>
      </w:pPr>
      <w:r w:rsidRPr="00643FAF">
        <w:rPr>
          <w:rStyle w:val="Emphasis"/>
          <w:bdr w:val="none" w:sz="0" w:space="0" w:color="auto" w:frame="1"/>
        </w:rPr>
        <w:t>This article reflects the views of the author. The managing authority of the programme is not liable for how this information may be used.</w:t>
      </w:r>
    </w:p>
    <w:p w14:paraId="29BE36C0" w14:textId="77777777" w:rsidR="009D6937" w:rsidRDefault="009D6937" w:rsidP="00643FAF">
      <w:pPr>
        <w:jc w:val="both"/>
      </w:pPr>
    </w:p>
    <w:sectPr w:rsidR="009D6937" w:rsidSect="009C3CAF">
      <w:pgSz w:w="11907" w:h="16840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7D94"/>
    <w:multiLevelType w:val="hybridMultilevel"/>
    <w:tmpl w:val="CFCECD82"/>
    <w:lvl w:ilvl="0" w:tplc="E20468DA"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02BB"/>
    <w:multiLevelType w:val="hybridMultilevel"/>
    <w:tmpl w:val="E752CE36"/>
    <w:lvl w:ilvl="0" w:tplc="E20468DA"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43F"/>
    <w:multiLevelType w:val="hybridMultilevel"/>
    <w:tmpl w:val="FA925F78"/>
    <w:lvl w:ilvl="0" w:tplc="E20468DA"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12E6CCF"/>
    <w:multiLevelType w:val="hybridMultilevel"/>
    <w:tmpl w:val="00088A9E"/>
    <w:lvl w:ilvl="0" w:tplc="E20468DA"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3D9F"/>
    <w:multiLevelType w:val="hybridMultilevel"/>
    <w:tmpl w:val="B2F63AB4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55A605D6"/>
    <w:multiLevelType w:val="hybridMultilevel"/>
    <w:tmpl w:val="18CA58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AF"/>
    <w:rsid w:val="00643FAF"/>
    <w:rsid w:val="009C3CAF"/>
    <w:rsid w:val="009D6937"/>
    <w:rsid w:val="00EF4229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A2B7"/>
  <w15:chartTrackingRefBased/>
  <w15:docId w15:val="{1112A0FC-DECA-45E8-8A63-D1DC2030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F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43FAF"/>
    <w:rPr>
      <w:i/>
      <w:iCs/>
    </w:rPr>
  </w:style>
  <w:style w:type="paragraph" w:styleId="ListParagraph">
    <w:name w:val="List Paragraph"/>
    <w:basedOn w:val="Normal"/>
    <w:uiPriority w:val="34"/>
    <w:qFormat/>
    <w:rsid w:val="0064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.krauze@lvgmc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tla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retike@lvgmc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tla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3429</Words>
  <Characters>1956</Characters>
  <Application>Microsoft Office Word</Application>
  <DocSecurity>0</DocSecurity>
  <Lines>16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Peleke</dc:creator>
  <cp:keywords/>
  <dc:description/>
  <cp:lastModifiedBy>Sanita Peleke</cp:lastModifiedBy>
  <cp:revision>1</cp:revision>
  <dcterms:created xsi:type="dcterms:W3CDTF">2020-12-11T10:10:00Z</dcterms:created>
  <dcterms:modified xsi:type="dcterms:W3CDTF">2020-12-11T10:15:00Z</dcterms:modified>
</cp:coreProperties>
</file>