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E9F96" w14:textId="77777777" w:rsidR="00CF2F62" w:rsidRDefault="00CF2F62">
      <w:pPr>
        <w:spacing w:after="0" w:line="240" w:lineRule="auto"/>
        <w:jc w:val="both"/>
        <w:rPr>
          <w:sz w:val="22"/>
          <w:szCs w:val="22"/>
        </w:rPr>
      </w:pPr>
    </w:p>
    <w:p w14:paraId="390D2EC9" w14:textId="77777777" w:rsidR="00CF2F62" w:rsidRDefault="00CF2F62"/>
    <w:p w14:paraId="49C8A112" w14:textId="77777777" w:rsidR="00CF2F62" w:rsidRDefault="00D46A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PIEKĻŪSTAMĪBAS IZVĒRTĒŠANAS PROTOKOLA VEIDLAPA</w:t>
      </w:r>
    </w:p>
    <w:tbl>
      <w:tblPr>
        <w:tblStyle w:val="a"/>
        <w:tblW w:w="14400" w:type="dxa"/>
        <w:tblInd w:w="0" w:type="dxa"/>
        <w:tblBorders>
          <w:top w:val="nil"/>
          <w:left w:val="nil"/>
          <w:bottom w:val="nil"/>
          <w:right w:val="nil"/>
          <w:insideH w:val="single" w:sz="4" w:space="0" w:color="E7E6E6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38"/>
        <w:gridCol w:w="3652"/>
        <w:gridCol w:w="535"/>
        <w:gridCol w:w="4364"/>
        <w:gridCol w:w="2811"/>
      </w:tblGrid>
      <w:tr w:rsidR="00CF2F62" w14:paraId="0C181F9B" w14:textId="77777777">
        <w:tc>
          <w:tcPr>
            <w:tcW w:w="3038" w:type="dxa"/>
            <w:vAlign w:val="center"/>
          </w:tcPr>
          <w:p w14:paraId="30D81764" w14:textId="77777777" w:rsidR="00CF2F62" w:rsidRDefault="00D46AB5">
            <w:pPr>
              <w:rPr>
                <w:color w:val="7F7F7F"/>
              </w:rPr>
            </w:pPr>
            <w:r>
              <w:rPr>
                <w:color w:val="7F7F7F"/>
              </w:rPr>
              <w:t xml:space="preserve">Tīmekļvietnes atbilstība </w:t>
            </w:r>
            <w:proofErr w:type="spellStart"/>
            <w:r>
              <w:rPr>
                <w:color w:val="7F7F7F"/>
              </w:rPr>
              <w:t>piekļūstamības</w:t>
            </w:r>
            <w:proofErr w:type="spellEnd"/>
            <w:r>
              <w:rPr>
                <w:color w:val="7F7F7F"/>
              </w:rPr>
              <w:t xml:space="preserve"> prasībām veikta (veikšanas datums): 21.02.2022</w:t>
            </w:r>
          </w:p>
        </w:tc>
        <w:tc>
          <w:tcPr>
            <w:tcW w:w="3652" w:type="dxa"/>
            <w:vAlign w:val="center"/>
          </w:tcPr>
          <w:p w14:paraId="6D0627B9" w14:textId="77777777" w:rsidR="00CF2F62" w:rsidRDefault="00CF2F62"/>
        </w:tc>
        <w:tc>
          <w:tcPr>
            <w:tcW w:w="535" w:type="dxa"/>
            <w:tcBorders>
              <w:top w:val="nil"/>
              <w:bottom w:val="nil"/>
            </w:tcBorders>
          </w:tcPr>
          <w:p w14:paraId="202EE097" w14:textId="77777777" w:rsidR="00CF2F62" w:rsidRDefault="00CF2F62"/>
        </w:tc>
        <w:tc>
          <w:tcPr>
            <w:tcW w:w="4364" w:type="dxa"/>
          </w:tcPr>
          <w:p w14:paraId="416AC86A" w14:textId="77777777" w:rsidR="00CF2F62" w:rsidRDefault="00D46AB5">
            <w:pPr>
              <w:rPr>
                <w:color w:val="7F7F7F"/>
              </w:rPr>
            </w:pPr>
            <w:r>
              <w:rPr>
                <w:color w:val="7F7F7F"/>
              </w:rPr>
              <w:t xml:space="preserve">Tīmekļvietnes </w:t>
            </w:r>
            <w:proofErr w:type="spellStart"/>
            <w:r>
              <w:rPr>
                <w:color w:val="7F7F7F"/>
              </w:rPr>
              <w:t>piekļūstamības</w:t>
            </w:r>
            <w:proofErr w:type="spellEnd"/>
            <w:r>
              <w:rPr>
                <w:color w:val="7F7F7F"/>
              </w:rPr>
              <w:t xml:space="preserve"> pārbaudi veica</w:t>
            </w:r>
            <w:r>
              <w:rPr>
                <w:color w:val="7F7F7F"/>
              </w:rPr>
              <w:br/>
              <w:t>(vārds, uzvārds, amats):</w:t>
            </w:r>
          </w:p>
          <w:p w14:paraId="38974FE4" w14:textId="77777777" w:rsidR="00CF2F62" w:rsidRDefault="00CF2F62">
            <w:pPr>
              <w:rPr>
                <w:color w:val="7F7F7F"/>
              </w:rPr>
            </w:pPr>
          </w:p>
        </w:tc>
        <w:tc>
          <w:tcPr>
            <w:tcW w:w="2811" w:type="dxa"/>
          </w:tcPr>
          <w:p w14:paraId="1FE0BF50" w14:textId="77777777" w:rsidR="00CF2F62" w:rsidRDefault="00CF2F62"/>
        </w:tc>
      </w:tr>
      <w:tr w:rsidR="00CF2F62" w14:paraId="70CBE997" w14:textId="77777777">
        <w:tc>
          <w:tcPr>
            <w:tcW w:w="3038" w:type="dxa"/>
            <w:vAlign w:val="center"/>
          </w:tcPr>
          <w:p w14:paraId="148131FC" w14:textId="77777777" w:rsidR="00CF2F62" w:rsidRDefault="00D46AB5">
            <w:pPr>
              <w:rPr>
                <w:color w:val="7F7F7F"/>
              </w:rPr>
            </w:pPr>
            <w:r>
              <w:rPr>
                <w:color w:val="7F7F7F"/>
              </w:rPr>
              <w:t>Iestādes nosaukums: Valsts SIA "Latvijas Vides, ģeoloģijas un meteoroloģijas centrs"</w:t>
            </w:r>
          </w:p>
        </w:tc>
        <w:tc>
          <w:tcPr>
            <w:tcW w:w="3652" w:type="dxa"/>
            <w:vAlign w:val="center"/>
          </w:tcPr>
          <w:p w14:paraId="3B675E9F" w14:textId="77777777" w:rsidR="00CF2F62" w:rsidRDefault="00CF2F62"/>
        </w:tc>
        <w:tc>
          <w:tcPr>
            <w:tcW w:w="535" w:type="dxa"/>
            <w:tcBorders>
              <w:top w:val="nil"/>
              <w:bottom w:val="nil"/>
            </w:tcBorders>
          </w:tcPr>
          <w:p w14:paraId="07A5DDF2" w14:textId="77777777" w:rsidR="00CF2F62" w:rsidRDefault="00CF2F62"/>
        </w:tc>
        <w:tc>
          <w:tcPr>
            <w:tcW w:w="4364" w:type="dxa"/>
          </w:tcPr>
          <w:p w14:paraId="01403AC6" w14:textId="77777777" w:rsidR="00CF2F62" w:rsidRDefault="00D46AB5">
            <w:pPr>
              <w:rPr>
                <w:color w:val="7F7F7F"/>
              </w:rPr>
            </w:pPr>
            <w:r>
              <w:rPr>
                <w:color w:val="7F7F7F"/>
              </w:rPr>
              <w:t xml:space="preserve">Tīmekļvietnes </w:t>
            </w:r>
            <w:proofErr w:type="spellStart"/>
            <w:r>
              <w:rPr>
                <w:color w:val="7F7F7F"/>
              </w:rPr>
              <w:t>piekļūstamības</w:t>
            </w:r>
            <w:proofErr w:type="spellEnd"/>
            <w:r>
              <w:rPr>
                <w:color w:val="7F7F7F"/>
              </w:rPr>
              <w:t xml:space="preserve"> pārbaudi veica</w:t>
            </w:r>
            <w:r>
              <w:rPr>
                <w:color w:val="7F7F7F"/>
              </w:rPr>
              <w:br/>
              <w:t>(vārds, uzvārds, amats):</w:t>
            </w:r>
          </w:p>
        </w:tc>
        <w:tc>
          <w:tcPr>
            <w:tcW w:w="2811" w:type="dxa"/>
          </w:tcPr>
          <w:p w14:paraId="181B77B4" w14:textId="77777777" w:rsidR="00CF2F62" w:rsidRDefault="00CF2F62"/>
        </w:tc>
      </w:tr>
      <w:tr w:rsidR="00CF2F62" w14:paraId="3C96B1D2" w14:textId="77777777">
        <w:tc>
          <w:tcPr>
            <w:tcW w:w="3038" w:type="dxa"/>
            <w:vAlign w:val="center"/>
          </w:tcPr>
          <w:p w14:paraId="59CD29D9" w14:textId="77777777" w:rsidR="00CF2F62" w:rsidRDefault="00D46AB5">
            <w:pPr>
              <w:rPr>
                <w:color w:val="7F7F7F"/>
              </w:rPr>
            </w:pPr>
            <w:r>
              <w:rPr>
                <w:color w:val="7F7F7F"/>
              </w:rPr>
              <w:t>Tīmekļvietnes domēna nosaukums (URL): https://videscentrs.lvgmc.lv/</w:t>
            </w:r>
          </w:p>
        </w:tc>
        <w:tc>
          <w:tcPr>
            <w:tcW w:w="3652" w:type="dxa"/>
            <w:vAlign w:val="center"/>
          </w:tcPr>
          <w:p w14:paraId="2ECB3FED" w14:textId="77777777" w:rsidR="00CF2F62" w:rsidRDefault="00CF2F62"/>
        </w:tc>
        <w:tc>
          <w:tcPr>
            <w:tcW w:w="535" w:type="dxa"/>
            <w:tcBorders>
              <w:top w:val="nil"/>
              <w:bottom w:val="nil"/>
            </w:tcBorders>
          </w:tcPr>
          <w:p w14:paraId="4660359F" w14:textId="77777777" w:rsidR="00CF2F62" w:rsidRDefault="00CF2F62"/>
        </w:tc>
        <w:tc>
          <w:tcPr>
            <w:tcW w:w="4364" w:type="dxa"/>
          </w:tcPr>
          <w:p w14:paraId="73F5FC62" w14:textId="77777777" w:rsidR="00CF2F62" w:rsidRDefault="00CF2F62"/>
        </w:tc>
        <w:tc>
          <w:tcPr>
            <w:tcW w:w="2811" w:type="dxa"/>
          </w:tcPr>
          <w:p w14:paraId="3EE043D2" w14:textId="77777777" w:rsidR="00CF2F62" w:rsidRDefault="00CF2F62"/>
        </w:tc>
      </w:tr>
    </w:tbl>
    <w:p w14:paraId="7C3099A8" w14:textId="77777777" w:rsidR="00CF2F62" w:rsidRDefault="00CF2F62"/>
    <w:tbl>
      <w:tblPr>
        <w:tblStyle w:val="a0"/>
        <w:tblW w:w="14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955"/>
        <w:gridCol w:w="1117"/>
        <w:gridCol w:w="1117"/>
        <w:gridCol w:w="1117"/>
        <w:gridCol w:w="1117"/>
        <w:gridCol w:w="1118"/>
        <w:gridCol w:w="1117"/>
        <w:gridCol w:w="1117"/>
        <w:gridCol w:w="1117"/>
        <w:gridCol w:w="1117"/>
        <w:gridCol w:w="1118"/>
      </w:tblGrid>
      <w:tr w:rsidR="00CF2F62" w14:paraId="1F908B6C" w14:textId="77777777">
        <w:tc>
          <w:tcPr>
            <w:tcW w:w="2263" w:type="dxa"/>
            <w:vAlign w:val="center"/>
          </w:tcPr>
          <w:p w14:paraId="6F83B019" w14:textId="77777777" w:rsidR="00CF2F62" w:rsidRDefault="00D46AB5">
            <w:pPr>
              <w:jc w:val="center"/>
              <w:rPr>
                <w:b/>
              </w:rPr>
            </w:pPr>
            <w:r>
              <w:rPr>
                <w:b/>
              </w:rPr>
              <w:t>Novērtētās lapas</w:t>
            </w:r>
          </w:p>
        </w:tc>
        <w:tc>
          <w:tcPr>
            <w:tcW w:w="955" w:type="dxa"/>
            <w:vAlign w:val="center"/>
          </w:tcPr>
          <w:p w14:paraId="2A07A8D8" w14:textId="77777777" w:rsidR="00CF2F62" w:rsidRDefault="00D46AB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Galvenā navigācija</w:t>
            </w:r>
          </w:p>
        </w:tc>
        <w:tc>
          <w:tcPr>
            <w:tcW w:w="1117" w:type="dxa"/>
            <w:vAlign w:val="center"/>
          </w:tcPr>
          <w:p w14:paraId="02E52064" w14:textId="77777777" w:rsidR="00CF2F62" w:rsidRDefault="00D46AB5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Pamatstruk-tūras</w:t>
            </w:r>
            <w:proofErr w:type="spellEnd"/>
            <w:r>
              <w:rPr>
                <w:b/>
                <w:sz w:val="16"/>
                <w:szCs w:val="16"/>
              </w:rPr>
              <w:t xml:space="preserve"> pārbaude</w:t>
            </w:r>
          </w:p>
        </w:tc>
        <w:tc>
          <w:tcPr>
            <w:tcW w:w="1117" w:type="dxa"/>
            <w:vAlign w:val="center"/>
          </w:tcPr>
          <w:p w14:paraId="2B185F77" w14:textId="77777777" w:rsidR="00CF2F62" w:rsidRDefault="00D46AB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Tastatūras piekļuve un vizuālais fokuss</w:t>
            </w:r>
          </w:p>
        </w:tc>
        <w:tc>
          <w:tcPr>
            <w:tcW w:w="1117" w:type="dxa"/>
            <w:vAlign w:val="center"/>
          </w:tcPr>
          <w:p w14:paraId="6113287B" w14:textId="77777777" w:rsidR="00CF2F62" w:rsidRDefault="00D46AB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Formu lauki un kļūdu paziņojumi</w:t>
            </w:r>
          </w:p>
        </w:tc>
        <w:tc>
          <w:tcPr>
            <w:tcW w:w="1117" w:type="dxa"/>
            <w:vAlign w:val="center"/>
          </w:tcPr>
          <w:p w14:paraId="3704D5C5" w14:textId="77777777" w:rsidR="00CF2F62" w:rsidRDefault="00D46AB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Attēlu tekstuālā alternatīva</w:t>
            </w:r>
          </w:p>
        </w:tc>
        <w:tc>
          <w:tcPr>
            <w:tcW w:w="1118" w:type="dxa"/>
            <w:vAlign w:val="center"/>
          </w:tcPr>
          <w:p w14:paraId="4F89AD4C" w14:textId="77777777" w:rsidR="00CF2F62" w:rsidRDefault="00D46AB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Virsraksti</w:t>
            </w:r>
          </w:p>
        </w:tc>
        <w:tc>
          <w:tcPr>
            <w:tcW w:w="1117" w:type="dxa"/>
            <w:vAlign w:val="center"/>
          </w:tcPr>
          <w:p w14:paraId="6FCA286E" w14:textId="77777777" w:rsidR="00CF2F62" w:rsidRDefault="00D46AB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Krāsu kontrasti</w:t>
            </w:r>
          </w:p>
        </w:tc>
        <w:tc>
          <w:tcPr>
            <w:tcW w:w="1117" w:type="dxa"/>
            <w:vAlign w:val="center"/>
          </w:tcPr>
          <w:p w14:paraId="397DEC69" w14:textId="77777777" w:rsidR="00CF2F62" w:rsidRDefault="00D46AB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Teksta izmēra tālummaiņa</w:t>
            </w:r>
          </w:p>
        </w:tc>
        <w:tc>
          <w:tcPr>
            <w:tcW w:w="1117" w:type="dxa"/>
            <w:vAlign w:val="center"/>
          </w:tcPr>
          <w:p w14:paraId="2EE35A14" w14:textId="77777777" w:rsidR="00CF2F62" w:rsidRDefault="00D46AB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Lapu nosaukumi</w:t>
            </w:r>
          </w:p>
        </w:tc>
        <w:tc>
          <w:tcPr>
            <w:tcW w:w="1117" w:type="dxa"/>
            <w:vAlign w:val="center"/>
          </w:tcPr>
          <w:p w14:paraId="63037440" w14:textId="77777777" w:rsidR="00CF2F62" w:rsidRDefault="00D46AB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Saturs, kas kustas, mirgo un zibsnī</w:t>
            </w:r>
          </w:p>
        </w:tc>
        <w:tc>
          <w:tcPr>
            <w:tcW w:w="1118" w:type="dxa"/>
            <w:vAlign w:val="center"/>
          </w:tcPr>
          <w:p w14:paraId="168FA3ED" w14:textId="77777777" w:rsidR="00CF2F62" w:rsidRDefault="00D46AB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Multimediju (audio, video) satura alternatīvas</w:t>
            </w:r>
          </w:p>
        </w:tc>
      </w:tr>
      <w:tr w:rsidR="00CF2F62" w14:paraId="4ED2410D" w14:textId="77777777">
        <w:tc>
          <w:tcPr>
            <w:tcW w:w="2263" w:type="dxa"/>
          </w:tcPr>
          <w:p w14:paraId="07417D4A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https://videscentrs.lvgmc.lv/</w:t>
            </w:r>
          </w:p>
        </w:tc>
        <w:tc>
          <w:tcPr>
            <w:tcW w:w="955" w:type="dxa"/>
          </w:tcPr>
          <w:p w14:paraId="76702532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Neatbilst (1)</w:t>
            </w:r>
          </w:p>
        </w:tc>
        <w:tc>
          <w:tcPr>
            <w:tcW w:w="1117" w:type="dxa"/>
          </w:tcPr>
          <w:p w14:paraId="474FDA89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Neatbilst (4)</w:t>
            </w:r>
          </w:p>
        </w:tc>
        <w:tc>
          <w:tcPr>
            <w:tcW w:w="1117" w:type="dxa"/>
          </w:tcPr>
          <w:p w14:paraId="5D7F9ED9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Neatbilst (6, 7)</w:t>
            </w:r>
          </w:p>
        </w:tc>
        <w:tc>
          <w:tcPr>
            <w:tcW w:w="1117" w:type="dxa"/>
          </w:tcPr>
          <w:p w14:paraId="03FDC5F3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92D050"/>
                <w:sz w:val="18"/>
                <w:szCs w:val="18"/>
              </w:rPr>
              <w:t>Atbilst</w:t>
            </w:r>
          </w:p>
        </w:tc>
        <w:tc>
          <w:tcPr>
            <w:tcW w:w="1117" w:type="dxa"/>
          </w:tcPr>
          <w:p w14:paraId="399FA9F5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Neatbilst (12)</w:t>
            </w:r>
          </w:p>
        </w:tc>
        <w:tc>
          <w:tcPr>
            <w:tcW w:w="1118" w:type="dxa"/>
          </w:tcPr>
          <w:p w14:paraId="3D47FC10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Neatbilst (13)</w:t>
            </w:r>
          </w:p>
        </w:tc>
        <w:tc>
          <w:tcPr>
            <w:tcW w:w="1117" w:type="dxa"/>
          </w:tcPr>
          <w:p w14:paraId="0D9DC669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Neatbilst (3)</w:t>
            </w:r>
          </w:p>
        </w:tc>
        <w:tc>
          <w:tcPr>
            <w:tcW w:w="1117" w:type="dxa"/>
          </w:tcPr>
          <w:p w14:paraId="78D16064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92D050"/>
                <w:sz w:val="18"/>
                <w:szCs w:val="18"/>
              </w:rPr>
              <w:t>Atbilst</w:t>
            </w:r>
          </w:p>
        </w:tc>
        <w:tc>
          <w:tcPr>
            <w:tcW w:w="1117" w:type="dxa"/>
          </w:tcPr>
          <w:p w14:paraId="136BC9A7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92D050"/>
                <w:sz w:val="18"/>
                <w:szCs w:val="18"/>
              </w:rPr>
              <w:t>Atbilst</w:t>
            </w:r>
          </w:p>
        </w:tc>
        <w:tc>
          <w:tcPr>
            <w:tcW w:w="1117" w:type="dxa"/>
          </w:tcPr>
          <w:p w14:paraId="2923BFBF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92D050"/>
                <w:sz w:val="18"/>
                <w:szCs w:val="18"/>
              </w:rPr>
              <w:t>Atbilst</w:t>
            </w:r>
          </w:p>
        </w:tc>
        <w:tc>
          <w:tcPr>
            <w:tcW w:w="1118" w:type="dxa"/>
          </w:tcPr>
          <w:p w14:paraId="5B7FBF14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 attiecināms</w:t>
            </w:r>
          </w:p>
        </w:tc>
      </w:tr>
      <w:tr w:rsidR="00CF2F62" w14:paraId="2433467E" w14:textId="77777777">
        <w:tc>
          <w:tcPr>
            <w:tcW w:w="2263" w:type="dxa"/>
          </w:tcPr>
          <w:p w14:paraId="731660F1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https://videscentrs.lvgmc.lv/karte/nokrisni</w:t>
            </w:r>
          </w:p>
        </w:tc>
        <w:tc>
          <w:tcPr>
            <w:tcW w:w="955" w:type="dxa"/>
          </w:tcPr>
          <w:p w14:paraId="3C91F9DB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Neatbilst (1)</w:t>
            </w:r>
          </w:p>
        </w:tc>
        <w:tc>
          <w:tcPr>
            <w:tcW w:w="1117" w:type="dxa"/>
          </w:tcPr>
          <w:p w14:paraId="472B2D96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Neatbilst (4)</w:t>
            </w:r>
          </w:p>
        </w:tc>
        <w:tc>
          <w:tcPr>
            <w:tcW w:w="1117" w:type="dxa"/>
          </w:tcPr>
          <w:p w14:paraId="5E80A3F7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Neatbilst (6)</w:t>
            </w:r>
          </w:p>
        </w:tc>
        <w:tc>
          <w:tcPr>
            <w:tcW w:w="1117" w:type="dxa"/>
          </w:tcPr>
          <w:p w14:paraId="081F17B8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92D050"/>
                <w:sz w:val="18"/>
                <w:szCs w:val="18"/>
              </w:rPr>
              <w:t>Atbilst</w:t>
            </w:r>
          </w:p>
        </w:tc>
        <w:tc>
          <w:tcPr>
            <w:tcW w:w="1117" w:type="dxa"/>
          </w:tcPr>
          <w:p w14:paraId="2BDDB148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 attiecināms</w:t>
            </w:r>
          </w:p>
        </w:tc>
        <w:tc>
          <w:tcPr>
            <w:tcW w:w="1118" w:type="dxa"/>
          </w:tcPr>
          <w:p w14:paraId="72E6DCE9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Neatbilst (14)</w:t>
            </w:r>
          </w:p>
        </w:tc>
        <w:tc>
          <w:tcPr>
            <w:tcW w:w="1117" w:type="dxa"/>
          </w:tcPr>
          <w:p w14:paraId="1DB5DAF8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Neatbilst (3)</w:t>
            </w:r>
          </w:p>
        </w:tc>
        <w:tc>
          <w:tcPr>
            <w:tcW w:w="1117" w:type="dxa"/>
          </w:tcPr>
          <w:p w14:paraId="649E2D8A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92D050"/>
                <w:sz w:val="18"/>
                <w:szCs w:val="18"/>
              </w:rPr>
              <w:t>Atbilst</w:t>
            </w:r>
          </w:p>
        </w:tc>
        <w:tc>
          <w:tcPr>
            <w:tcW w:w="1117" w:type="dxa"/>
          </w:tcPr>
          <w:p w14:paraId="2345F1FC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92D050"/>
                <w:sz w:val="18"/>
                <w:szCs w:val="18"/>
              </w:rPr>
              <w:t>Atbilst</w:t>
            </w:r>
          </w:p>
        </w:tc>
        <w:tc>
          <w:tcPr>
            <w:tcW w:w="1117" w:type="dxa"/>
          </w:tcPr>
          <w:p w14:paraId="4D6104C5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92D050"/>
                <w:sz w:val="18"/>
                <w:szCs w:val="18"/>
              </w:rPr>
              <w:t>Atbilst</w:t>
            </w:r>
          </w:p>
        </w:tc>
        <w:tc>
          <w:tcPr>
            <w:tcW w:w="1118" w:type="dxa"/>
          </w:tcPr>
          <w:p w14:paraId="1E00EA90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 attiecināms</w:t>
            </w:r>
          </w:p>
        </w:tc>
      </w:tr>
      <w:tr w:rsidR="00CF2F62" w14:paraId="2C518EC8" w14:textId="77777777">
        <w:tc>
          <w:tcPr>
            <w:tcW w:w="2263" w:type="dxa"/>
          </w:tcPr>
          <w:p w14:paraId="5E2421BE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https://videscentrs.lvgmc.lv/iebuvets/hidrologiskas-prognozes</w:t>
            </w:r>
          </w:p>
        </w:tc>
        <w:tc>
          <w:tcPr>
            <w:tcW w:w="955" w:type="dxa"/>
          </w:tcPr>
          <w:p w14:paraId="2B2F6B4A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92D050"/>
                <w:sz w:val="18"/>
                <w:szCs w:val="18"/>
              </w:rPr>
              <w:t>Atbilst</w:t>
            </w:r>
          </w:p>
        </w:tc>
        <w:tc>
          <w:tcPr>
            <w:tcW w:w="1117" w:type="dxa"/>
          </w:tcPr>
          <w:p w14:paraId="5533B39F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Neatbilst (4; 5)</w:t>
            </w:r>
          </w:p>
        </w:tc>
        <w:tc>
          <w:tcPr>
            <w:tcW w:w="1117" w:type="dxa"/>
          </w:tcPr>
          <w:p w14:paraId="3B7ECE60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Neatbilst (2;8;9)</w:t>
            </w:r>
          </w:p>
        </w:tc>
        <w:tc>
          <w:tcPr>
            <w:tcW w:w="1117" w:type="dxa"/>
          </w:tcPr>
          <w:p w14:paraId="0AC01D22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Neatbilst (8)</w:t>
            </w:r>
          </w:p>
        </w:tc>
        <w:tc>
          <w:tcPr>
            <w:tcW w:w="1117" w:type="dxa"/>
          </w:tcPr>
          <w:p w14:paraId="072A562E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92D050"/>
                <w:sz w:val="18"/>
                <w:szCs w:val="18"/>
              </w:rPr>
              <w:t>Atbilst</w:t>
            </w:r>
          </w:p>
        </w:tc>
        <w:tc>
          <w:tcPr>
            <w:tcW w:w="1118" w:type="dxa"/>
          </w:tcPr>
          <w:p w14:paraId="7E38D85B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92D050"/>
                <w:sz w:val="18"/>
                <w:szCs w:val="18"/>
              </w:rPr>
              <w:t>Atbilst</w:t>
            </w:r>
          </w:p>
        </w:tc>
        <w:tc>
          <w:tcPr>
            <w:tcW w:w="1117" w:type="dxa"/>
          </w:tcPr>
          <w:p w14:paraId="65D11D5B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92D050"/>
                <w:sz w:val="18"/>
                <w:szCs w:val="18"/>
              </w:rPr>
              <w:t>Atbilst</w:t>
            </w:r>
          </w:p>
        </w:tc>
        <w:tc>
          <w:tcPr>
            <w:tcW w:w="1117" w:type="dxa"/>
          </w:tcPr>
          <w:p w14:paraId="22602778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92D050"/>
                <w:sz w:val="18"/>
                <w:szCs w:val="18"/>
              </w:rPr>
              <w:t>Atbilst</w:t>
            </w:r>
          </w:p>
        </w:tc>
        <w:tc>
          <w:tcPr>
            <w:tcW w:w="1117" w:type="dxa"/>
          </w:tcPr>
          <w:p w14:paraId="5DD6E049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92D050"/>
                <w:sz w:val="18"/>
                <w:szCs w:val="18"/>
              </w:rPr>
              <w:t>Atbilst</w:t>
            </w:r>
          </w:p>
        </w:tc>
        <w:tc>
          <w:tcPr>
            <w:tcW w:w="1117" w:type="dxa"/>
          </w:tcPr>
          <w:p w14:paraId="17674B7B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 attiecināms</w:t>
            </w:r>
          </w:p>
        </w:tc>
        <w:tc>
          <w:tcPr>
            <w:tcW w:w="1118" w:type="dxa"/>
          </w:tcPr>
          <w:p w14:paraId="70C763EE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 attiecināms</w:t>
            </w:r>
          </w:p>
        </w:tc>
      </w:tr>
      <w:tr w:rsidR="00CF2F62" w14:paraId="6E253A0A" w14:textId="77777777">
        <w:tc>
          <w:tcPr>
            <w:tcW w:w="2263" w:type="dxa"/>
          </w:tcPr>
          <w:p w14:paraId="4FDF6918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https://videscentrs.lvgmc.lv/gaiss</w:t>
            </w:r>
          </w:p>
        </w:tc>
        <w:tc>
          <w:tcPr>
            <w:tcW w:w="955" w:type="dxa"/>
          </w:tcPr>
          <w:p w14:paraId="48CFA0C6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Neatbilst (1)</w:t>
            </w:r>
          </w:p>
        </w:tc>
        <w:tc>
          <w:tcPr>
            <w:tcW w:w="1117" w:type="dxa"/>
          </w:tcPr>
          <w:p w14:paraId="6057AAB6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Neatbilst (4)</w:t>
            </w:r>
          </w:p>
        </w:tc>
        <w:tc>
          <w:tcPr>
            <w:tcW w:w="1117" w:type="dxa"/>
          </w:tcPr>
          <w:p w14:paraId="1E3CFFB5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Neatbilst (10)</w:t>
            </w:r>
          </w:p>
        </w:tc>
        <w:tc>
          <w:tcPr>
            <w:tcW w:w="1117" w:type="dxa"/>
          </w:tcPr>
          <w:p w14:paraId="252A7256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92D050"/>
                <w:sz w:val="18"/>
                <w:szCs w:val="18"/>
              </w:rPr>
              <w:t>Atbilst</w:t>
            </w:r>
          </w:p>
        </w:tc>
        <w:tc>
          <w:tcPr>
            <w:tcW w:w="1117" w:type="dxa"/>
          </w:tcPr>
          <w:p w14:paraId="68710DD4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 attiecināms</w:t>
            </w:r>
          </w:p>
        </w:tc>
        <w:tc>
          <w:tcPr>
            <w:tcW w:w="1118" w:type="dxa"/>
          </w:tcPr>
          <w:p w14:paraId="542C6DE2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Neatbilst (15)</w:t>
            </w:r>
          </w:p>
        </w:tc>
        <w:tc>
          <w:tcPr>
            <w:tcW w:w="1117" w:type="dxa"/>
          </w:tcPr>
          <w:p w14:paraId="47805835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Neatbilst (3)</w:t>
            </w:r>
          </w:p>
        </w:tc>
        <w:tc>
          <w:tcPr>
            <w:tcW w:w="1117" w:type="dxa"/>
          </w:tcPr>
          <w:p w14:paraId="21C4D2AE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92D050"/>
                <w:sz w:val="18"/>
                <w:szCs w:val="18"/>
              </w:rPr>
              <w:t>Atbilst</w:t>
            </w:r>
          </w:p>
        </w:tc>
        <w:tc>
          <w:tcPr>
            <w:tcW w:w="1117" w:type="dxa"/>
          </w:tcPr>
          <w:p w14:paraId="16D3267E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92D050"/>
                <w:sz w:val="18"/>
                <w:szCs w:val="18"/>
              </w:rPr>
              <w:t>Atbilst</w:t>
            </w:r>
          </w:p>
        </w:tc>
        <w:tc>
          <w:tcPr>
            <w:tcW w:w="1117" w:type="dxa"/>
          </w:tcPr>
          <w:p w14:paraId="3D787BFA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92D050"/>
                <w:sz w:val="18"/>
                <w:szCs w:val="18"/>
              </w:rPr>
              <w:t>Atbilst</w:t>
            </w:r>
          </w:p>
        </w:tc>
        <w:tc>
          <w:tcPr>
            <w:tcW w:w="1118" w:type="dxa"/>
          </w:tcPr>
          <w:p w14:paraId="5238F53E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 attiecināms</w:t>
            </w:r>
          </w:p>
        </w:tc>
      </w:tr>
      <w:tr w:rsidR="00CF2F62" w14:paraId="14622657" w14:textId="77777777">
        <w:tc>
          <w:tcPr>
            <w:tcW w:w="2263" w:type="dxa"/>
          </w:tcPr>
          <w:p w14:paraId="25308EC4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https://videscentrs.lvgmc.lv/lapas/vakances</w:t>
            </w:r>
          </w:p>
        </w:tc>
        <w:tc>
          <w:tcPr>
            <w:tcW w:w="955" w:type="dxa"/>
          </w:tcPr>
          <w:p w14:paraId="52E1B5DE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 xml:space="preserve"> Neatbilst (1)</w:t>
            </w:r>
          </w:p>
        </w:tc>
        <w:tc>
          <w:tcPr>
            <w:tcW w:w="1117" w:type="dxa"/>
          </w:tcPr>
          <w:p w14:paraId="380AD61F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Neatbilst (4)</w:t>
            </w:r>
          </w:p>
        </w:tc>
        <w:tc>
          <w:tcPr>
            <w:tcW w:w="1117" w:type="dxa"/>
          </w:tcPr>
          <w:p w14:paraId="12C54040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Neatbilst (11)</w:t>
            </w:r>
          </w:p>
        </w:tc>
        <w:tc>
          <w:tcPr>
            <w:tcW w:w="1117" w:type="dxa"/>
          </w:tcPr>
          <w:p w14:paraId="343E9AB0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92D050"/>
                <w:sz w:val="18"/>
                <w:szCs w:val="18"/>
              </w:rPr>
              <w:t xml:space="preserve">Atbilst </w:t>
            </w:r>
          </w:p>
        </w:tc>
        <w:tc>
          <w:tcPr>
            <w:tcW w:w="1117" w:type="dxa"/>
          </w:tcPr>
          <w:p w14:paraId="60C117B2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 attiecināms</w:t>
            </w:r>
          </w:p>
        </w:tc>
        <w:tc>
          <w:tcPr>
            <w:tcW w:w="1118" w:type="dxa"/>
          </w:tcPr>
          <w:p w14:paraId="6AB6E59F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92D050"/>
                <w:sz w:val="18"/>
                <w:szCs w:val="18"/>
              </w:rPr>
              <w:t>Atbilst</w:t>
            </w:r>
          </w:p>
        </w:tc>
        <w:tc>
          <w:tcPr>
            <w:tcW w:w="1117" w:type="dxa"/>
          </w:tcPr>
          <w:p w14:paraId="0593FC6D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Neatbilst (3)</w:t>
            </w:r>
          </w:p>
        </w:tc>
        <w:tc>
          <w:tcPr>
            <w:tcW w:w="1117" w:type="dxa"/>
          </w:tcPr>
          <w:p w14:paraId="19479826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92D050"/>
                <w:sz w:val="18"/>
                <w:szCs w:val="18"/>
              </w:rPr>
              <w:t>Atbilst</w:t>
            </w:r>
          </w:p>
        </w:tc>
        <w:tc>
          <w:tcPr>
            <w:tcW w:w="1117" w:type="dxa"/>
          </w:tcPr>
          <w:p w14:paraId="6AA4A645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color w:val="92D050"/>
                <w:sz w:val="18"/>
                <w:szCs w:val="18"/>
              </w:rPr>
              <w:t>Atbilst</w:t>
            </w:r>
          </w:p>
        </w:tc>
        <w:tc>
          <w:tcPr>
            <w:tcW w:w="1117" w:type="dxa"/>
          </w:tcPr>
          <w:p w14:paraId="498B954F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 attiecināms</w:t>
            </w:r>
          </w:p>
        </w:tc>
        <w:tc>
          <w:tcPr>
            <w:tcW w:w="1118" w:type="dxa"/>
          </w:tcPr>
          <w:p w14:paraId="0AEBD54A" w14:textId="77777777" w:rsidR="00CF2F62" w:rsidRDefault="00D46A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 attiecināms</w:t>
            </w:r>
          </w:p>
        </w:tc>
      </w:tr>
    </w:tbl>
    <w:p w14:paraId="1465A2C3" w14:textId="77777777" w:rsidR="00CF2F62" w:rsidRDefault="00D46AB5">
      <w:pPr>
        <w:spacing w:before="120" w:after="120" w:line="240" w:lineRule="auto"/>
        <w:jc w:val="both"/>
      </w:pPr>
      <w:bookmarkStart w:id="0" w:name="_heading=h.gjdgxs" w:colFirst="0" w:colLast="0"/>
      <w:bookmarkEnd w:id="0"/>
      <w:r>
        <w:t xml:space="preserve">Aizpildot tabulu, rīkoties šādi: 1) ja pārbaudāmais elements atbilst noteiktajām </w:t>
      </w:r>
      <w:proofErr w:type="spellStart"/>
      <w:r>
        <w:t>piekļūstamības</w:t>
      </w:r>
      <w:proofErr w:type="spellEnd"/>
      <w:r>
        <w:t xml:space="preserve"> prasībām, atzīmējiet tabulā konkrētajā ailē “Atbilst”; 3) ja pārbaudāmais aspekts neatbilst noteiktajām </w:t>
      </w:r>
      <w:proofErr w:type="spellStart"/>
      <w:r>
        <w:t>piekļūstamības</w:t>
      </w:r>
      <w:proofErr w:type="spellEnd"/>
      <w:r>
        <w:t xml:space="preserve"> prasībām, atzīmējiet “Neatbilst”; 3) ja pārbaudāmais elements neatrodas izvēlētajā lapā, atzīmējiet “Nav attiecināms”. Šūnām, kurās norādīts “Neatbilst”, ieteicams pievienot komentāru , kas tieši neatbilst. Šī informācija būs nepieciešama, aizpildot </w:t>
      </w:r>
      <w:proofErr w:type="spellStart"/>
      <w:r>
        <w:t>piekļūstamības</w:t>
      </w:r>
      <w:proofErr w:type="spellEnd"/>
      <w:r>
        <w:t xml:space="preserve"> paziņojuma formu.</w:t>
      </w:r>
    </w:p>
    <w:p w14:paraId="1A21CD70" w14:textId="77777777" w:rsidR="00CF2F62" w:rsidRDefault="00CF2F62">
      <w:pPr>
        <w:spacing w:before="120" w:after="120" w:line="360" w:lineRule="auto"/>
        <w:jc w:val="both"/>
      </w:pPr>
    </w:p>
    <w:p w14:paraId="1DD2F6D0" w14:textId="6E1C17A6" w:rsidR="00CF2F62" w:rsidRDefault="00D46AB5">
      <w:pPr>
        <w:spacing w:before="120" w:after="120" w:line="360" w:lineRule="auto"/>
        <w:jc w:val="both"/>
      </w:pPr>
      <w:r>
        <w:t xml:space="preserve">Pārbaudi apstiprināja (vārds, uzvārds, amats):  </w:t>
      </w:r>
    </w:p>
    <w:p w14:paraId="46C421BB" w14:textId="68F1ABC9" w:rsidR="00DE58F0" w:rsidRDefault="00DE58F0">
      <w:pPr>
        <w:spacing w:before="120" w:after="120" w:line="360" w:lineRule="auto"/>
        <w:jc w:val="both"/>
      </w:pPr>
      <w:r>
        <w:t>Antra Zariņa</w:t>
      </w:r>
    </w:p>
    <w:p w14:paraId="1A5824AD" w14:textId="4C2320F4" w:rsidR="00DE58F0" w:rsidRDefault="00DE58F0">
      <w:pPr>
        <w:spacing w:before="120" w:after="120" w:line="360" w:lineRule="auto"/>
        <w:jc w:val="both"/>
      </w:pPr>
      <w:r>
        <w:t>LVĢMC ITD vadītāja vietniece</w:t>
      </w:r>
    </w:p>
    <w:p w14:paraId="41535B16" w14:textId="77777777" w:rsidR="00CF2F62" w:rsidRDefault="00CF2F62">
      <w:pPr>
        <w:spacing w:before="120" w:after="120" w:line="360" w:lineRule="auto"/>
        <w:jc w:val="both"/>
        <w:rPr>
          <w:sz w:val="18"/>
          <w:szCs w:val="18"/>
        </w:rPr>
      </w:pPr>
    </w:p>
    <w:p w14:paraId="35DA2672" w14:textId="77777777" w:rsidR="00CF2F62" w:rsidRDefault="00D46AB5">
      <w:pPr>
        <w:jc w:val="both"/>
        <w:rPr>
          <w:sz w:val="18"/>
          <w:szCs w:val="18"/>
        </w:rPr>
      </w:pPr>
      <w:r>
        <w:rPr>
          <w:sz w:val="18"/>
          <w:szCs w:val="18"/>
        </w:rPr>
        <w:t>* Pārbaudes protokolu apstiprina atbilstoši iestādē noteiktajai iekšējai dokumentu aprites kārtībai.</w:t>
      </w:r>
    </w:p>
    <w:p w14:paraId="0D01B9E2" w14:textId="77777777" w:rsidR="00CF2F62" w:rsidRDefault="00D46AB5">
      <w:pPr>
        <w:jc w:val="center"/>
      </w:pPr>
      <w:r>
        <w:tab/>
      </w:r>
      <w:r>
        <w:rPr>
          <w:rFonts w:ascii="Times New Roman" w:eastAsia="Times New Roman" w:hAnsi="Times New Roman" w:cs="Times New Roman"/>
        </w:rPr>
        <w:t>ŠIS DOKUMENTS IR ELEKTRONISKI PARAKSTĪTS AR DROŠU ELEKTRONISKO PARAKSTU UN SATUR LAIKA ZĪMOGU</w:t>
      </w:r>
    </w:p>
    <w:p w14:paraId="1644DE1C" w14:textId="77777777" w:rsidR="00CF2F62" w:rsidRDefault="00CF2F62">
      <w:pPr>
        <w:jc w:val="center"/>
      </w:pPr>
    </w:p>
    <w:p w14:paraId="6B0984D4" w14:textId="77777777" w:rsidR="00CF2F62" w:rsidRDefault="00D46AB5">
      <w:r>
        <w:t>KOMENTĀRI:</w:t>
      </w:r>
    </w:p>
    <w:p w14:paraId="67399CBE" w14:textId="77777777" w:rsidR="00CF2F62" w:rsidRDefault="00D46A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Lai pārstaigātu portāla pirmo lapu, izmantojot taustiņu “</w:t>
      </w:r>
      <w:proofErr w:type="spellStart"/>
      <w:r>
        <w:rPr>
          <w:color w:val="000000"/>
        </w:rPr>
        <w:t>Tab</w:t>
      </w:r>
      <w:proofErr w:type="spellEnd"/>
      <w:r>
        <w:rPr>
          <w:color w:val="000000"/>
        </w:rPr>
        <w:t xml:space="preserve">”, nepieciešami 48 soļi. Ar </w:t>
      </w:r>
      <w:proofErr w:type="spellStart"/>
      <w:r>
        <w:rPr>
          <w:color w:val="000000"/>
        </w:rPr>
        <w:t>Tab</w:t>
      </w:r>
      <w:proofErr w:type="spellEnd"/>
      <w:r>
        <w:rPr>
          <w:color w:val="000000"/>
        </w:rPr>
        <w:t xml:space="preserve"> taustiņu nav iespējams iezīmēt sadaļu “Par mums” , kā arī galvenā izvēlne nav pieejama ar Tab. </w:t>
      </w:r>
      <w:r>
        <w:rPr>
          <w:color w:val="000000"/>
        </w:rPr>
        <w:tab/>
      </w:r>
    </w:p>
    <w:p w14:paraId="283F1C3C" w14:textId="77777777" w:rsidR="00CF2F62" w:rsidRDefault="00716A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hyperlink r:id="rId8">
        <w:r w:rsidR="00D46AB5">
          <w:rPr>
            <w:color w:val="4472C4"/>
            <w:u w:val="single"/>
          </w:rPr>
          <w:t>https://videscentrs.lvgmc.lv/iebuvets/hidrologiskas-prognozes</w:t>
        </w:r>
      </w:hyperlink>
      <w:r w:rsidR="00D46AB5">
        <w:rPr>
          <w:color w:val="000000"/>
        </w:rPr>
        <w:t xml:space="preserve"> galvenā izvēlne ir sasniedzama ar </w:t>
      </w:r>
      <w:proofErr w:type="spellStart"/>
      <w:r w:rsidR="00D46AB5">
        <w:rPr>
          <w:color w:val="000000"/>
        </w:rPr>
        <w:t>Tab</w:t>
      </w:r>
      <w:proofErr w:type="spellEnd"/>
      <w:r w:rsidR="00D46AB5">
        <w:rPr>
          <w:color w:val="000000"/>
        </w:rPr>
        <w:t xml:space="preserve"> taustiņu, bet saite “Uz portālu”, to iezīmējot ar </w:t>
      </w:r>
      <w:proofErr w:type="spellStart"/>
      <w:r w:rsidR="00D46AB5">
        <w:rPr>
          <w:color w:val="000000"/>
        </w:rPr>
        <w:t>Tab</w:t>
      </w:r>
      <w:proofErr w:type="spellEnd"/>
      <w:r w:rsidR="00D46AB5">
        <w:rPr>
          <w:color w:val="000000"/>
        </w:rPr>
        <w:t xml:space="preserve">, kļūst praktiski neredzama. </w:t>
      </w:r>
    </w:p>
    <w:p w14:paraId="182B0344" w14:textId="77777777" w:rsidR="00CF2F62" w:rsidRDefault="00D46A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CFE37C3" wp14:editId="4FAE0F7A">
            <wp:extent cx="8403089" cy="1646188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3089" cy="1646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28F689" w14:textId="77777777" w:rsidR="00CF2F62" w:rsidRDefault="00D46A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Gaiši pelēkie un gaiši zilie teksti neatbilst krāsu kontrasta prasībām 4,5:1. Gaiši pelēkajai krāsai (</w:t>
      </w:r>
      <w:r>
        <w:rPr>
          <w:rFonts w:ascii="Consolas" w:eastAsia="Consolas" w:hAnsi="Consolas" w:cs="Consolas"/>
          <w:color w:val="202124"/>
          <w:sz w:val="18"/>
          <w:szCs w:val="18"/>
        </w:rPr>
        <w:t>#A8AAB7</w:t>
      </w:r>
      <w:r>
        <w:rPr>
          <w:color w:val="000000"/>
        </w:rPr>
        <w:t>) pret balto attiecība ir 2,3:1, Gaiši zilajai (</w:t>
      </w:r>
      <w:r>
        <w:rPr>
          <w:rFonts w:ascii="Consolas" w:eastAsia="Consolas" w:hAnsi="Consolas" w:cs="Consolas"/>
          <w:color w:val="202124"/>
          <w:sz w:val="18"/>
          <w:szCs w:val="18"/>
        </w:rPr>
        <w:t>#4DA1FF</w:t>
      </w:r>
      <w:r>
        <w:rPr>
          <w:color w:val="000000"/>
        </w:rPr>
        <w:t xml:space="preserve">) – 2.67:1. </w:t>
      </w:r>
    </w:p>
    <w:p w14:paraId="4F86AD66" w14:textId="77777777" w:rsidR="00CF2F62" w:rsidRDefault="00D46A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3949AC7" wp14:editId="5702ADDE">
            <wp:extent cx="1571429" cy="733333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429" cy="733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1CD4F4DE" wp14:editId="30C2AC9C">
            <wp:extent cx="1923810" cy="542857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542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B714C4" w14:textId="77777777" w:rsidR="00CF2F62" w:rsidRDefault="00716A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hyperlink r:id="rId12">
        <w:r w:rsidR="00D46AB5">
          <w:rPr>
            <w:color w:val="0563C1"/>
            <w:u w:val="single"/>
          </w:rPr>
          <w:t>https://pieklustamiba.varam.gov.lv/</w:t>
        </w:r>
      </w:hyperlink>
      <w:r w:rsidR="00D46AB5">
        <w:rPr>
          <w:color w:val="000000"/>
        </w:rPr>
        <w:t xml:space="preserve"> minētie rīki pamatstruktūras noteikšanai (</w:t>
      </w:r>
      <w:proofErr w:type="spellStart"/>
      <w:r w:rsidR="00D46AB5">
        <w:rPr>
          <w:rFonts w:ascii="Source Sans Pro" w:eastAsia="Source Sans Pro" w:hAnsi="Source Sans Pro" w:cs="Source Sans Pro"/>
          <w:color w:val="2C2C2C"/>
          <w:shd w:val="clear" w:color="auto" w:fill="FAFAFC"/>
        </w:rPr>
        <w:t>Accessibility</w:t>
      </w:r>
      <w:proofErr w:type="spellEnd"/>
      <w:r w:rsidR="00D46AB5">
        <w:rPr>
          <w:rFonts w:ascii="Source Sans Pro" w:eastAsia="Source Sans Pro" w:hAnsi="Source Sans Pro" w:cs="Source Sans Pro"/>
          <w:color w:val="2C2C2C"/>
          <w:shd w:val="clear" w:color="auto" w:fill="FAFAFC"/>
        </w:rPr>
        <w:t xml:space="preserve"> </w:t>
      </w:r>
      <w:proofErr w:type="spellStart"/>
      <w:r w:rsidR="00D46AB5">
        <w:rPr>
          <w:rFonts w:ascii="Source Sans Pro" w:eastAsia="Source Sans Pro" w:hAnsi="Source Sans Pro" w:cs="Source Sans Pro"/>
          <w:color w:val="2C2C2C"/>
          <w:shd w:val="clear" w:color="auto" w:fill="FAFAFC"/>
        </w:rPr>
        <w:t>Insights</w:t>
      </w:r>
      <w:proofErr w:type="spellEnd"/>
      <w:r w:rsidR="00D46AB5">
        <w:rPr>
          <w:rFonts w:ascii="Source Sans Pro" w:eastAsia="Source Sans Pro" w:hAnsi="Source Sans Pro" w:cs="Source Sans Pro"/>
          <w:color w:val="2C2C2C"/>
          <w:shd w:val="clear" w:color="auto" w:fill="FAFAFC"/>
        </w:rPr>
        <w:t xml:space="preserve">  un A11y-Outliner)  portāla lapās struktūru noteikt nav spējīgi (No </w:t>
      </w:r>
      <w:proofErr w:type="spellStart"/>
      <w:r w:rsidR="00D46AB5">
        <w:rPr>
          <w:rFonts w:ascii="Source Sans Pro" w:eastAsia="Source Sans Pro" w:hAnsi="Source Sans Pro" w:cs="Source Sans Pro"/>
          <w:color w:val="2C2C2C"/>
          <w:shd w:val="clear" w:color="auto" w:fill="FAFAFC"/>
        </w:rPr>
        <w:t>landmarks</w:t>
      </w:r>
      <w:proofErr w:type="spellEnd"/>
      <w:r w:rsidR="00D46AB5">
        <w:rPr>
          <w:rFonts w:ascii="Source Sans Pro" w:eastAsia="Source Sans Pro" w:hAnsi="Source Sans Pro" w:cs="Source Sans Pro"/>
          <w:color w:val="2C2C2C"/>
          <w:shd w:val="clear" w:color="auto" w:fill="FAFAFC"/>
        </w:rPr>
        <w:t xml:space="preserve"> </w:t>
      </w:r>
      <w:proofErr w:type="spellStart"/>
      <w:r w:rsidR="00D46AB5">
        <w:rPr>
          <w:rFonts w:ascii="Source Sans Pro" w:eastAsia="Source Sans Pro" w:hAnsi="Source Sans Pro" w:cs="Source Sans Pro"/>
          <w:color w:val="2C2C2C"/>
          <w:shd w:val="clear" w:color="auto" w:fill="FAFAFC"/>
        </w:rPr>
        <w:t>found</w:t>
      </w:r>
      <w:proofErr w:type="spellEnd"/>
      <w:r w:rsidR="00D46AB5">
        <w:rPr>
          <w:rFonts w:ascii="Source Sans Pro" w:eastAsia="Source Sans Pro" w:hAnsi="Source Sans Pro" w:cs="Source Sans Pro"/>
          <w:color w:val="2C2C2C"/>
          <w:shd w:val="clear" w:color="auto" w:fill="FAFAFC"/>
        </w:rPr>
        <w:t xml:space="preserve">). Vizuāli ir izšķirama galvene, kājene, sānu izvēlne un pamatinformācijas bloks (vai vairāki), bet tā kā analīzes spraudņi nespēj identificēt pamatstruktūru, norādu kā neatbilstību. </w:t>
      </w:r>
    </w:p>
    <w:p w14:paraId="16A4A6EE" w14:textId="77777777" w:rsidR="00CF2F62" w:rsidRDefault="00716A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hyperlink r:id="rId13">
        <w:r w:rsidR="00D46AB5">
          <w:rPr>
            <w:color w:val="0563C1"/>
            <w:u w:val="single"/>
          </w:rPr>
          <w:t>https://videscentrs.lvgmc.lv/iebuvets/hidrologiskas-prognozes</w:t>
        </w:r>
      </w:hyperlink>
      <w:r w:rsidR="00D46AB5">
        <w:rPr>
          <w:color w:val="000000"/>
        </w:rPr>
        <w:t xml:space="preserve"> lapā nav kājenes. </w:t>
      </w:r>
    </w:p>
    <w:p w14:paraId="45A4B886" w14:textId="77777777" w:rsidR="00CF2F62" w:rsidRDefault="00D46A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Ar </w:t>
      </w:r>
      <w:proofErr w:type="spellStart"/>
      <w:r>
        <w:rPr>
          <w:color w:val="000000"/>
        </w:rPr>
        <w:t>Tab</w:t>
      </w:r>
      <w:proofErr w:type="spellEnd"/>
      <w:r>
        <w:rPr>
          <w:color w:val="000000"/>
        </w:rPr>
        <w:t xml:space="preserve"> taustiņu nav pieejama navigācija pa karti, kā arī nav iespējams palaist laikapstākļu maiņas laikā </w:t>
      </w:r>
      <w:proofErr w:type="spellStart"/>
      <w:r>
        <w:rPr>
          <w:color w:val="000000"/>
        </w:rPr>
        <w:t>vizualizāciju</w:t>
      </w:r>
      <w:proofErr w:type="spellEnd"/>
      <w:r>
        <w:rPr>
          <w:color w:val="000000"/>
        </w:rPr>
        <w:t xml:space="preserve">. </w:t>
      </w:r>
    </w:p>
    <w:p w14:paraId="5B47D222" w14:textId="77777777" w:rsidR="00CF2F62" w:rsidRDefault="00D46A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764ACD9" wp14:editId="2C47C1F2">
            <wp:extent cx="7368671" cy="3478115"/>
            <wp:effectExtent l="0" t="0" r="0" b="0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8671" cy="3478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5539F1" w14:textId="77777777" w:rsidR="00CF2F62" w:rsidRDefault="00D46A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Pārstaigājot lapu, izmantojot klaviatūru, šķirkļi “Laikapstākļi”, “Temperatūra”, “Nokrišņi”, “Vējš” neiezīmējas (neizceļas). </w:t>
      </w:r>
    </w:p>
    <w:p w14:paraId="799CB959" w14:textId="77777777" w:rsidR="00CF2F62" w:rsidRDefault="00D46A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7E834D5" wp14:editId="023FBA02">
            <wp:extent cx="7948398" cy="2373480"/>
            <wp:effectExtent l="0" t="0" r="0" b="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48398" cy="2373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7F93A1" w14:textId="77777777" w:rsidR="00CF2F62" w:rsidRDefault="00D46A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Ierakstot staciju meklētājā vārdu, atrod atbilstošās adreses, bet nav iespējams izvēlēties, izmantojot klaviatūru.</w:t>
      </w:r>
    </w:p>
    <w:p w14:paraId="154F4A8D" w14:textId="77777777" w:rsidR="00CF2F62" w:rsidRDefault="00D46A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61CF7E0B" wp14:editId="7023695A">
            <wp:extent cx="7586033" cy="2263694"/>
            <wp:effectExtent l="0" t="0" r="0" b="0"/>
            <wp:docPr id="1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6033" cy="2263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</w:p>
    <w:p w14:paraId="1DEBCC81" w14:textId="77777777" w:rsidR="00CF2F62" w:rsidRDefault="00D46A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Kartē, pārstaigājot ar klaviatūru, iezīmējas novērojumu stacijas, bet staciju ierakstus ar “</w:t>
      </w:r>
      <w:proofErr w:type="spellStart"/>
      <w:r>
        <w:rPr>
          <w:color w:val="000000"/>
        </w:rPr>
        <w:t>Enter</w:t>
      </w:r>
      <w:proofErr w:type="spellEnd"/>
      <w:r>
        <w:rPr>
          <w:color w:val="000000"/>
        </w:rPr>
        <w:t xml:space="preserve">” atvērt nav iespējams.  </w:t>
      </w:r>
    </w:p>
    <w:p w14:paraId="7A113D10" w14:textId="77777777" w:rsidR="00CF2F62" w:rsidRDefault="00D46A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Ar klaviatūru pārstaigājot </w:t>
      </w:r>
      <w:hyperlink r:id="rId17">
        <w:r>
          <w:rPr>
            <w:color w:val="0563C1"/>
            <w:u w:val="single"/>
          </w:rPr>
          <w:t>https://videscentrs.lvgmc.lv/gaiss</w:t>
        </w:r>
      </w:hyperlink>
      <w:r>
        <w:rPr>
          <w:color w:val="000000"/>
        </w:rPr>
        <w:t xml:space="preserve">, nav atveramas stacijas kartē, kā arī nav iespējams palaist gaisa kvalitātes animāciju. </w:t>
      </w:r>
    </w:p>
    <w:p w14:paraId="0260849B" w14:textId="77777777" w:rsidR="00CF2F62" w:rsidRDefault="00D46A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98D8E1F" wp14:editId="6691E871">
            <wp:extent cx="6309028" cy="3728898"/>
            <wp:effectExtent l="0" t="0" r="0" b="0"/>
            <wp:docPr id="1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9028" cy="3728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CBD01A" w14:textId="77777777" w:rsidR="00CF2F62" w:rsidRDefault="00D46A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 xml:space="preserve">Izmantojot tastatūru, nav iespējams izvērst vakances aprakstu. </w:t>
      </w:r>
    </w:p>
    <w:p w14:paraId="64FB4C36" w14:textId="77777777" w:rsidR="00CF2F62" w:rsidRDefault="00D46AB5">
      <w:pPr>
        <w:ind w:left="360"/>
      </w:pPr>
      <w:r>
        <w:rPr>
          <w:noProof/>
        </w:rPr>
        <w:drawing>
          <wp:inline distT="0" distB="0" distL="0" distR="0" wp14:anchorId="068F2533" wp14:editId="3C92C974">
            <wp:extent cx="7272842" cy="2663174"/>
            <wp:effectExtent l="0" t="0" r="0" b="0"/>
            <wp:docPr id="2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72842" cy="26631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A7B180" w14:textId="77777777" w:rsidR="00CF2F62" w:rsidRDefault="00D46A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Attēliem nav pievienota tekstuāla alternatīva, kaut gan teksta </w:t>
      </w:r>
      <w:r>
        <w:t xml:space="preserve">redaktors </w:t>
      </w:r>
      <w:r>
        <w:rPr>
          <w:color w:val="000000"/>
        </w:rPr>
        <w:t xml:space="preserve">šādu funkcionalitāti pieļauj. </w:t>
      </w:r>
    </w:p>
    <w:p w14:paraId="175134F9" w14:textId="77777777" w:rsidR="00CF2F62" w:rsidRDefault="00D46A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Lapā nav netiek izmantoti pirmā līmeņa virsraksti (h1), virsrakstu strukturālais izkārtojums ne visur ir secīgs.</w:t>
      </w:r>
    </w:p>
    <w:p w14:paraId="2169F426" w14:textId="77777777" w:rsidR="00CF2F62" w:rsidRDefault="00D46AB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6473C42" wp14:editId="55DF9701">
            <wp:extent cx="6219139" cy="2933792"/>
            <wp:effectExtent l="0" t="0" r="0" b="0"/>
            <wp:docPr id="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9139" cy="2933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C8186A" w14:textId="77777777" w:rsidR="00CF2F62" w:rsidRDefault="00D46A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Virsrakstu hierarhija nav secīga:</w:t>
      </w:r>
    </w:p>
    <w:p w14:paraId="2F5D86B5" w14:textId="77777777" w:rsidR="00CF2F62" w:rsidRDefault="00D46AB5">
      <w:pPr>
        <w:ind w:left="360"/>
      </w:pPr>
      <w:r>
        <w:rPr>
          <w:noProof/>
        </w:rPr>
        <w:drawing>
          <wp:inline distT="0" distB="0" distL="0" distR="0" wp14:anchorId="7DB0D1D5" wp14:editId="036EDBBB">
            <wp:extent cx="5893098" cy="2670720"/>
            <wp:effectExtent l="0" t="0" r="0" b="0"/>
            <wp:docPr id="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3098" cy="2670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058C52" w14:textId="77777777" w:rsidR="00CF2F62" w:rsidRDefault="00D46A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Virsrakstu hierarhija nav secīga:</w:t>
      </w:r>
    </w:p>
    <w:p w14:paraId="19E4F2F8" w14:textId="77777777" w:rsidR="00CF2F62" w:rsidRDefault="00D46AB5">
      <w:pPr>
        <w:ind w:left="360"/>
      </w:pPr>
      <w:r>
        <w:rPr>
          <w:noProof/>
        </w:rPr>
        <w:drawing>
          <wp:inline distT="0" distB="0" distL="0" distR="0" wp14:anchorId="4EF05872" wp14:editId="757DDA23">
            <wp:extent cx="6058814" cy="2744138"/>
            <wp:effectExtent l="0" t="0" r="0" b="0"/>
            <wp:docPr id="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8814" cy="2744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49CB03" w14:textId="435B6510" w:rsidR="00CF2F62" w:rsidRDefault="00CF2F62" w:rsidP="001B5C0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CF2F62">
      <w:footerReference w:type="default" r:id="rId23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3A008" w14:textId="77777777" w:rsidR="00716ACB" w:rsidRDefault="00716ACB">
      <w:pPr>
        <w:spacing w:after="0" w:line="240" w:lineRule="auto"/>
      </w:pPr>
      <w:r>
        <w:separator/>
      </w:r>
    </w:p>
  </w:endnote>
  <w:endnote w:type="continuationSeparator" w:id="0">
    <w:p w14:paraId="1E1FD37D" w14:textId="77777777" w:rsidR="00716ACB" w:rsidRDefault="00716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BC034" w14:textId="77777777" w:rsidR="00CF2F62" w:rsidRDefault="00D46AB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B5C0B">
      <w:rPr>
        <w:noProof/>
        <w:color w:val="000000"/>
      </w:rPr>
      <w:t>1</w:t>
    </w:r>
    <w:r>
      <w:rPr>
        <w:color w:val="000000"/>
      </w:rPr>
      <w:fldChar w:fldCharType="end"/>
    </w:r>
  </w:p>
  <w:p w14:paraId="67C95272" w14:textId="77777777" w:rsidR="00CF2F62" w:rsidRDefault="00CF2F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60784" w14:textId="77777777" w:rsidR="00716ACB" w:rsidRDefault="00716ACB">
      <w:pPr>
        <w:spacing w:after="0" w:line="240" w:lineRule="auto"/>
      </w:pPr>
      <w:r>
        <w:separator/>
      </w:r>
    </w:p>
  </w:footnote>
  <w:footnote w:type="continuationSeparator" w:id="0">
    <w:p w14:paraId="2241EEB4" w14:textId="77777777" w:rsidR="00716ACB" w:rsidRDefault="00716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B422C"/>
    <w:multiLevelType w:val="multilevel"/>
    <w:tmpl w:val="CDDC1B6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F62"/>
    <w:rsid w:val="000F0BBA"/>
    <w:rsid w:val="001B5C0B"/>
    <w:rsid w:val="00716ACB"/>
    <w:rsid w:val="008833FC"/>
    <w:rsid w:val="008F3B0F"/>
    <w:rsid w:val="00BA4A25"/>
    <w:rsid w:val="00CF2F62"/>
    <w:rsid w:val="00D46AB5"/>
    <w:rsid w:val="00DE5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D98256"/>
  <w15:docId w15:val="{6B764DD4-FAA1-4C85-BCD6-5303C0957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1"/>
        <w:szCs w:val="21"/>
        <w:lang w:val="lv-LV" w:eastAsia="lv-LV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11B"/>
  </w:style>
  <w:style w:type="paragraph" w:styleId="Heading1">
    <w:name w:val="heading 1"/>
    <w:basedOn w:val="Normal"/>
    <w:next w:val="Normal"/>
    <w:link w:val="Heading1Char"/>
    <w:uiPriority w:val="9"/>
    <w:qFormat/>
    <w:rsid w:val="007F47DF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47DF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47D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47DF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47DF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47DF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47DF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47DF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47DF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7F47DF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NormalWeb">
    <w:name w:val="Normal (Web)"/>
    <w:basedOn w:val="Normal"/>
    <w:uiPriority w:val="99"/>
    <w:unhideWhenUsed/>
    <w:rsid w:val="00127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27C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3D6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682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7F47DF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F47DF"/>
    <w:rPr>
      <w:rFonts w:asciiTheme="majorHAnsi" w:eastAsiaTheme="majorEastAsia" w:hAnsiTheme="majorHAnsi" w:cstheme="majorBidi"/>
      <w:sz w:val="36"/>
      <w:szCs w:val="36"/>
    </w:rPr>
  </w:style>
  <w:style w:type="character" w:styleId="Strong">
    <w:name w:val="Strong"/>
    <w:basedOn w:val="DefaultParagraphFont"/>
    <w:uiPriority w:val="22"/>
    <w:qFormat/>
    <w:rsid w:val="007F47DF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7F47DF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3F748C"/>
    <w:rPr>
      <w:rFonts w:ascii="Courier New" w:eastAsia="Times New Roman" w:hAnsi="Courier New" w:cs="Courier New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7F47DF"/>
    <w:rPr>
      <w:rFonts w:asciiTheme="majorHAnsi" w:eastAsiaTheme="majorEastAsia" w:hAnsiTheme="majorHAnsi" w:cstheme="majorBidi"/>
      <w:i/>
      <w:iCs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4E2CF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E3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F47DF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7F47DF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47DF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47DF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47DF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47DF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F47DF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7F47DF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240"/>
    </w:pPr>
    <w:rPr>
      <w:color w:val="00000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F47DF"/>
    <w:rPr>
      <w:color w:val="000000" w:themeColor="text1"/>
      <w:sz w:val="24"/>
      <w:szCs w:val="24"/>
    </w:rPr>
  </w:style>
  <w:style w:type="paragraph" w:styleId="NoSpacing">
    <w:name w:val="No Spacing"/>
    <w:uiPriority w:val="1"/>
    <w:qFormat/>
    <w:rsid w:val="007F47D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F47DF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F47DF"/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47DF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47DF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F47DF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7F47DF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7F47DF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F47DF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7F47DF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7F47DF"/>
    <w:pPr>
      <w:outlineLvl w:val="9"/>
    </w:pPr>
  </w:style>
  <w:style w:type="paragraph" w:customStyle="1" w:styleId="ib">
    <w:name w:val="ib"/>
    <w:basedOn w:val="Normal"/>
    <w:rsid w:val="00F72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6B66CF"/>
    <w:pPr>
      <w:tabs>
        <w:tab w:val="right" w:leader="dot" w:pos="10245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A2D03"/>
    <w:pPr>
      <w:spacing w:after="100"/>
      <w:ind w:left="210"/>
    </w:pPr>
  </w:style>
  <w:style w:type="paragraph" w:styleId="TOC3">
    <w:name w:val="toc 3"/>
    <w:basedOn w:val="Normal"/>
    <w:next w:val="Normal"/>
    <w:autoRedefine/>
    <w:uiPriority w:val="39"/>
    <w:unhideWhenUsed/>
    <w:rsid w:val="00AA2D03"/>
    <w:pPr>
      <w:spacing w:after="100"/>
      <w:ind w:left="420"/>
    </w:pPr>
  </w:style>
  <w:style w:type="character" w:customStyle="1" w:styleId="highlightentry">
    <w:name w:val="highlightentry"/>
    <w:basedOn w:val="DefaultParagraphFont"/>
    <w:rsid w:val="00681A2A"/>
  </w:style>
  <w:style w:type="character" w:styleId="CommentReference">
    <w:name w:val="annotation reference"/>
    <w:basedOn w:val="DefaultParagraphFont"/>
    <w:uiPriority w:val="99"/>
    <w:semiHidden/>
    <w:unhideWhenUsed/>
    <w:rsid w:val="008350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50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50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50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506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50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06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D01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122"/>
  </w:style>
  <w:style w:type="paragraph" w:styleId="Footer">
    <w:name w:val="footer"/>
    <w:basedOn w:val="Normal"/>
    <w:link w:val="FooterChar"/>
    <w:uiPriority w:val="99"/>
    <w:unhideWhenUsed/>
    <w:rsid w:val="001D01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122"/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3963E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B66CF"/>
    <w:pPr>
      <w:spacing w:after="0" w:line="240" w:lineRule="auto"/>
    </w:pPr>
  </w:style>
  <w:style w:type="character" w:customStyle="1" w:styleId="Neatrisintapieminana2">
    <w:name w:val="Neatrisināta pieminēšana2"/>
    <w:basedOn w:val="DefaultParagraphFont"/>
    <w:uiPriority w:val="99"/>
    <w:semiHidden/>
    <w:unhideWhenUsed/>
    <w:rsid w:val="00897073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970B1A"/>
  </w:style>
  <w:style w:type="character" w:styleId="UnresolvedMention">
    <w:name w:val="Unresolved Mention"/>
    <w:basedOn w:val="DefaultParagraphFont"/>
    <w:uiPriority w:val="99"/>
    <w:semiHidden/>
    <w:unhideWhenUsed/>
    <w:rsid w:val="00A83638"/>
    <w:rPr>
      <w:color w:val="605E5C"/>
      <w:shd w:val="clear" w:color="auto" w:fill="E1DFDD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scentrs.lvgmc.lv/iebuvets/hidrologiskas-prognozes" TargetMode="External"/><Relationship Id="rId13" Type="http://schemas.openxmlformats.org/officeDocument/2006/relationships/hyperlink" Target="https://videscentrs.lvgmc.lv/iebuvets/hidrologiskas-prognozes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pieklustamiba.varam.gov.lv/" TargetMode="External"/><Relationship Id="rId17" Type="http://schemas.openxmlformats.org/officeDocument/2006/relationships/hyperlink" Target="https://videscentrs.lvgmc.lv/gaiss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uAkKwwrgsMnFvIyY9uU9ccPXPw==">AMUW2mVlfW381Ii+OOoyuN4oA3KeSkdyPy2r2VzLNgHZ4/Zj0+upXW2D3fIpVaNE5ez1BFQb3DNLSjrLx+jkMp2YvoE9W65VyTo/jpIXXMdsV+7SfORME3A5ilasWWWYet68itykRKp1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3011</Words>
  <Characters>1717</Characters>
  <Application>Microsoft Office Word</Application>
  <DocSecurity>0</DocSecurity>
  <Lines>14</Lines>
  <Paragraphs>9</Paragraphs>
  <ScaleCrop>false</ScaleCrop>
  <Company/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Javtushenko</dc:creator>
  <cp:lastModifiedBy>Antra Zarina</cp:lastModifiedBy>
  <cp:revision>2</cp:revision>
  <dcterms:created xsi:type="dcterms:W3CDTF">2022-02-23T10:19:00Z</dcterms:created>
  <dcterms:modified xsi:type="dcterms:W3CDTF">2022-02-23T10:19:00Z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0x01010067D71E8EB670144CB80E4B0EFFE2B324</vt:lpwstr>
  </property>
</Properties>
</file>