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74755" w14:textId="77777777" w:rsidR="003A39B8" w:rsidRPr="0048381F" w:rsidRDefault="003A39B8" w:rsidP="009A61F5">
      <w:pPr>
        <w:spacing w:before="240" w:after="120"/>
        <w:jc w:val="both"/>
        <w:rPr>
          <w:rFonts w:asciiTheme="majorBidi" w:eastAsia="Times New Roman" w:hAnsiTheme="majorBidi" w:cs="Times New Roman"/>
          <w:b/>
          <w:bCs/>
          <w:sz w:val="24"/>
          <w:szCs w:val="24"/>
        </w:rPr>
      </w:pPr>
      <w:r w:rsidRPr="0048381F">
        <w:rPr>
          <w:rFonts w:asciiTheme="majorBidi" w:eastAsia="Times New Roman" w:hAnsiTheme="majorBidi" w:cs="Times New Roman"/>
          <w:b/>
          <w:bCs/>
          <w:sz w:val="24"/>
          <w:szCs w:val="24"/>
        </w:rPr>
        <w:t xml:space="preserve">I Mērķis </w:t>
      </w:r>
    </w:p>
    <w:p w14:paraId="6401E457" w14:textId="349F1948" w:rsidR="00837EBD" w:rsidRPr="00421F37" w:rsidRDefault="00421F37" w:rsidP="00421F37">
      <w:pPr>
        <w:widowControl w:val="0"/>
        <w:pBdr>
          <w:top w:val="nil"/>
          <w:left w:val="nil"/>
          <w:bottom w:val="nil"/>
          <w:right w:val="nil"/>
          <w:between w:val="nil"/>
        </w:pBdr>
        <w:spacing w:before="129" w:line="241" w:lineRule="auto"/>
        <w:ind w:left="44" w:right="-1"/>
        <w:jc w:val="both"/>
        <w:rPr>
          <w:rFonts w:ascii="Times New Roman" w:eastAsia="Times New Roman" w:hAnsi="Times New Roman" w:cs="Times New Roman"/>
          <w:color w:val="262626"/>
          <w:sz w:val="24"/>
          <w:szCs w:val="24"/>
        </w:rPr>
      </w:pPr>
      <w:r w:rsidRPr="00421F37">
        <w:rPr>
          <w:rFonts w:ascii="Times New Roman" w:eastAsia="Times New Roman" w:hAnsi="Times New Roman" w:cs="Times New Roman"/>
          <w:color w:val="262626"/>
          <w:sz w:val="24"/>
          <w:szCs w:val="24"/>
        </w:rPr>
        <w:t>VISA “Latvijas Vides, ģeoloģijas un meteoroloģijas centrs”</w:t>
      </w:r>
      <w:r>
        <w:rPr>
          <w:rFonts w:ascii="Times New Roman" w:eastAsia="Times New Roman" w:hAnsi="Times New Roman" w:cs="Times New Roman"/>
          <w:color w:val="262626"/>
          <w:sz w:val="24"/>
          <w:szCs w:val="24"/>
        </w:rPr>
        <w:t xml:space="preserve"> (turpmāk LVĢMC) </w:t>
      </w:r>
      <w:proofErr w:type="spellStart"/>
      <w:r>
        <w:rPr>
          <w:rFonts w:ascii="Times New Roman" w:eastAsia="Times New Roman" w:hAnsi="Times New Roman" w:cs="Times New Roman"/>
          <w:color w:val="262626"/>
          <w:sz w:val="24"/>
          <w:szCs w:val="24"/>
        </w:rPr>
        <w:t>E</w:t>
      </w:r>
      <w:r w:rsidRPr="00421F37">
        <w:rPr>
          <w:rFonts w:ascii="Times New Roman" w:eastAsia="Times New Roman" w:hAnsi="Times New Roman" w:cs="Times New Roman"/>
          <w:color w:val="262626"/>
          <w:sz w:val="24"/>
          <w:szCs w:val="24"/>
        </w:rPr>
        <w:t>nergopārvaldības</w:t>
      </w:r>
      <w:proofErr w:type="spellEnd"/>
      <w:r w:rsidRPr="00421F37">
        <w:rPr>
          <w:rFonts w:ascii="Times New Roman" w:eastAsia="Times New Roman" w:hAnsi="Times New Roman" w:cs="Times New Roman"/>
          <w:color w:val="262626"/>
          <w:sz w:val="24"/>
          <w:szCs w:val="24"/>
        </w:rPr>
        <w:t xml:space="preserve"> politika</w:t>
      </w:r>
      <w:r>
        <w:rPr>
          <w:rFonts w:ascii="Times New Roman" w:eastAsia="Times New Roman" w:hAnsi="Times New Roman" w:cs="Times New Roman"/>
          <w:color w:val="262626"/>
          <w:sz w:val="24"/>
          <w:szCs w:val="24"/>
        </w:rPr>
        <w:t>s (turpmāk – Politika) mērķis ir vērsts uz</w:t>
      </w:r>
      <w:r w:rsidRPr="00421F37">
        <w:rPr>
          <w:rFonts w:ascii="Times New Roman" w:eastAsia="Times New Roman" w:hAnsi="Times New Roman" w:cs="Times New Roman"/>
          <w:color w:val="262626"/>
          <w:sz w:val="24"/>
          <w:szCs w:val="24"/>
        </w:rPr>
        <w:t xml:space="preserve">  </w:t>
      </w:r>
      <w:proofErr w:type="spellStart"/>
      <w:r>
        <w:rPr>
          <w:rFonts w:ascii="Times New Roman" w:eastAsia="Times New Roman" w:hAnsi="Times New Roman" w:cs="Times New Roman"/>
          <w:color w:val="262626"/>
          <w:sz w:val="24"/>
          <w:szCs w:val="24"/>
        </w:rPr>
        <w:t>tapīgu</w:t>
      </w:r>
      <w:proofErr w:type="spellEnd"/>
      <w:r w:rsidRPr="00421F37">
        <w:rPr>
          <w:rFonts w:ascii="Times New Roman" w:eastAsia="Times New Roman" w:hAnsi="Times New Roman" w:cs="Times New Roman"/>
          <w:color w:val="262626"/>
          <w:sz w:val="24"/>
          <w:szCs w:val="24"/>
        </w:rPr>
        <w:t xml:space="preserve"> </w:t>
      </w:r>
      <w:r w:rsidR="00837EBD" w:rsidRPr="00421F37">
        <w:rPr>
          <w:rFonts w:ascii="Times New Roman" w:eastAsia="Times New Roman" w:hAnsi="Times New Roman" w:cs="Times New Roman"/>
          <w:color w:val="262626"/>
          <w:sz w:val="24"/>
          <w:szCs w:val="24"/>
        </w:rPr>
        <w:t>energoresursu izmantošan</w:t>
      </w:r>
      <w:r>
        <w:rPr>
          <w:rFonts w:ascii="Times New Roman" w:eastAsia="Times New Roman" w:hAnsi="Times New Roman" w:cs="Times New Roman"/>
          <w:color w:val="262626"/>
          <w:sz w:val="24"/>
          <w:szCs w:val="24"/>
        </w:rPr>
        <w:t>u, kas</w:t>
      </w:r>
      <w:r w:rsidR="00837EBD" w:rsidRPr="00421F37">
        <w:rPr>
          <w:rFonts w:ascii="Times New Roman" w:eastAsia="Times New Roman" w:hAnsi="Times New Roman" w:cs="Times New Roman"/>
          <w:color w:val="262626"/>
          <w:sz w:val="24"/>
          <w:szCs w:val="24"/>
        </w:rPr>
        <w:t xml:space="preserve"> ļauj </w:t>
      </w:r>
      <w:r w:rsidR="00837EBD" w:rsidRPr="00421F37">
        <w:rPr>
          <w:rFonts w:ascii="Times New Roman" w:eastAsia="Times New Roman" w:hAnsi="Times New Roman" w:cs="Times New Roman"/>
          <w:color w:val="000000"/>
          <w:sz w:val="24"/>
          <w:szCs w:val="24"/>
        </w:rPr>
        <w:t xml:space="preserve">LVĢMC </w:t>
      </w:r>
      <w:r w:rsidR="00837EBD" w:rsidRPr="00421F37">
        <w:rPr>
          <w:rFonts w:ascii="Times New Roman" w:eastAsia="Times New Roman" w:hAnsi="Times New Roman" w:cs="Times New Roman"/>
          <w:color w:val="262626"/>
          <w:sz w:val="24"/>
          <w:szCs w:val="24"/>
        </w:rPr>
        <w:t>efektīvi sniegt pakalpojumus ieinteresētajām pusēm un samazināt uzņēmuma darbības ietekmi uz vidi</w:t>
      </w:r>
      <w:r>
        <w:rPr>
          <w:rFonts w:ascii="Times New Roman" w:eastAsia="Times New Roman" w:hAnsi="Times New Roman" w:cs="Times New Roman"/>
          <w:color w:val="262626"/>
          <w:sz w:val="24"/>
          <w:szCs w:val="24"/>
        </w:rPr>
        <w:t xml:space="preserve"> un, i</w:t>
      </w:r>
      <w:r w:rsidRPr="00421F37">
        <w:rPr>
          <w:rFonts w:ascii="Times New Roman" w:eastAsia="Times New Roman" w:hAnsi="Times New Roman" w:cs="Times New Roman"/>
          <w:color w:val="262626"/>
          <w:sz w:val="24"/>
          <w:szCs w:val="24"/>
        </w:rPr>
        <w:t>r orientēta uz ilgtspējīgu attīstību un nepārtrauktu energoefektivitātes uzlabošanu</w:t>
      </w:r>
      <w:r>
        <w:rPr>
          <w:rFonts w:ascii="Times New Roman" w:eastAsia="Times New Roman" w:hAnsi="Times New Roman" w:cs="Times New Roman"/>
          <w:color w:val="262626"/>
          <w:sz w:val="24"/>
          <w:szCs w:val="24"/>
        </w:rPr>
        <w:t>.</w:t>
      </w:r>
    </w:p>
    <w:p w14:paraId="6BB8D2A1" w14:textId="6554F1B6" w:rsidR="002C2408" w:rsidRPr="0048381F" w:rsidRDefault="002C2408" w:rsidP="009A61F5">
      <w:pPr>
        <w:spacing w:before="240" w:after="120"/>
        <w:jc w:val="both"/>
        <w:rPr>
          <w:rFonts w:asciiTheme="majorBidi" w:eastAsia="Times New Roman" w:hAnsiTheme="majorBidi" w:cs="Times New Roman"/>
          <w:b/>
          <w:bCs/>
          <w:sz w:val="24"/>
          <w:szCs w:val="24"/>
        </w:rPr>
      </w:pPr>
      <w:r w:rsidRPr="0048381F">
        <w:rPr>
          <w:rFonts w:asciiTheme="majorBidi" w:eastAsia="Times New Roman" w:hAnsiTheme="majorBidi" w:cs="Times New Roman"/>
          <w:b/>
          <w:bCs/>
          <w:sz w:val="24"/>
          <w:szCs w:val="24"/>
        </w:rPr>
        <w:t>II Lietošanas/darbības sfēra</w:t>
      </w:r>
    </w:p>
    <w:p w14:paraId="0C329546" w14:textId="1743C6C8" w:rsidR="00B2552C" w:rsidRDefault="009C5038" w:rsidP="009A61F5">
      <w:pPr>
        <w:spacing w:before="240" w:after="120"/>
        <w:jc w:val="both"/>
        <w:rPr>
          <w:rFonts w:asciiTheme="majorBidi" w:eastAsia="Times New Roman" w:hAnsiTheme="majorBidi" w:cs="Times New Roman"/>
          <w:sz w:val="24"/>
          <w:szCs w:val="24"/>
        </w:rPr>
      </w:pPr>
      <w:proofErr w:type="spellStart"/>
      <w:r>
        <w:rPr>
          <w:rFonts w:asciiTheme="majorBidi" w:eastAsia="Times New Roman" w:hAnsiTheme="majorBidi" w:cs="Times New Roman"/>
          <w:sz w:val="24"/>
          <w:szCs w:val="24"/>
        </w:rPr>
        <w:t>Energopārvaldības</w:t>
      </w:r>
      <w:proofErr w:type="spellEnd"/>
      <w:r w:rsidR="00B2552C">
        <w:rPr>
          <w:rFonts w:asciiTheme="majorBidi" w:eastAsia="Times New Roman" w:hAnsiTheme="majorBidi" w:cs="Times New Roman"/>
          <w:sz w:val="24"/>
          <w:szCs w:val="24"/>
        </w:rPr>
        <w:t xml:space="preserve"> p</w:t>
      </w:r>
      <w:r w:rsidR="00B2552C" w:rsidRPr="00B2552C">
        <w:rPr>
          <w:rFonts w:asciiTheme="majorBidi" w:eastAsia="Times New Roman" w:hAnsiTheme="majorBidi" w:cs="Times New Roman"/>
          <w:sz w:val="24"/>
          <w:szCs w:val="24"/>
        </w:rPr>
        <w:t>olitika attiecas uz visiem LVĢMC darbiniekiem. Politika ir saistoša arī darījumu partneriem, kurus LVĢMC pilnvaro veikt daļu savas pārvaldības funkciju, vai tie piedalās atsevišķu pakalpojumu sniegšanā. Trešajām pusēm to pienākumi un atbildība tiek noteikta līgumos.</w:t>
      </w:r>
    </w:p>
    <w:p w14:paraId="17ABD065" w14:textId="77777777" w:rsidR="002C0752" w:rsidRPr="0048381F" w:rsidRDefault="002C0752" w:rsidP="009A61F5">
      <w:pPr>
        <w:spacing w:before="240" w:after="120"/>
        <w:jc w:val="both"/>
        <w:rPr>
          <w:rFonts w:asciiTheme="majorBidi" w:eastAsia="Times New Roman" w:hAnsiTheme="majorBidi" w:cs="Times New Roman"/>
          <w:b/>
          <w:bCs/>
          <w:sz w:val="24"/>
          <w:szCs w:val="24"/>
        </w:rPr>
      </w:pPr>
      <w:r w:rsidRPr="0048381F">
        <w:rPr>
          <w:rFonts w:asciiTheme="majorBidi" w:eastAsia="Times New Roman" w:hAnsiTheme="majorBidi" w:cs="Times New Roman"/>
          <w:b/>
          <w:bCs/>
          <w:sz w:val="24"/>
          <w:szCs w:val="24"/>
        </w:rPr>
        <w:t xml:space="preserve">III Reglamentējošie un saistošie dokumenti </w:t>
      </w:r>
    </w:p>
    <w:p w14:paraId="35666040" w14:textId="77777777" w:rsidR="002C0752" w:rsidRPr="0048381F" w:rsidRDefault="002C0752" w:rsidP="009A61F5">
      <w:pPr>
        <w:spacing w:before="240" w:after="120"/>
        <w:jc w:val="both"/>
        <w:rPr>
          <w:rFonts w:asciiTheme="majorBidi" w:eastAsia="Times New Roman" w:hAnsiTheme="majorBidi" w:cs="Times New Roman"/>
          <w:b/>
          <w:bCs/>
          <w:sz w:val="24"/>
          <w:szCs w:val="24"/>
        </w:rPr>
      </w:pPr>
      <w:r w:rsidRPr="0048381F">
        <w:rPr>
          <w:rFonts w:asciiTheme="majorBidi" w:eastAsia="Times New Roman" w:hAnsiTheme="majorBidi" w:cs="Times New Roman"/>
          <w:b/>
          <w:bCs/>
          <w:sz w:val="24"/>
          <w:szCs w:val="24"/>
        </w:rPr>
        <w:t>Reglamentējošie dokumenti:</w:t>
      </w:r>
    </w:p>
    <w:p w14:paraId="1FEA60AB" w14:textId="77777777" w:rsidR="009B025D" w:rsidRPr="009B025D" w:rsidRDefault="009B025D" w:rsidP="009B025D">
      <w:pPr>
        <w:pStyle w:val="Sarakstarindkopa"/>
        <w:numPr>
          <w:ilvl w:val="0"/>
          <w:numId w:val="3"/>
        </w:numPr>
        <w:rPr>
          <w:rFonts w:asciiTheme="majorBidi" w:eastAsia="Times New Roman" w:hAnsiTheme="majorBidi" w:cs="Times New Roman"/>
          <w:sz w:val="24"/>
          <w:szCs w:val="24"/>
        </w:rPr>
      </w:pPr>
      <w:r w:rsidRPr="009B025D">
        <w:rPr>
          <w:rFonts w:asciiTheme="majorBidi" w:eastAsia="Times New Roman" w:hAnsiTheme="majorBidi" w:cs="Times New Roman"/>
          <w:sz w:val="24"/>
          <w:szCs w:val="24"/>
        </w:rPr>
        <w:t>Energoefektivitātes likums</w:t>
      </w:r>
    </w:p>
    <w:p w14:paraId="61C31CFA" w14:textId="77777777" w:rsidR="009B025D" w:rsidRPr="009B025D" w:rsidRDefault="009B025D" w:rsidP="009B025D">
      <w:pPr>
        <w:pStyle w:val="Sarakstarindkopa"/>
        <w:numPr>
          <w:ilvl w:val="0"/>
          <w:numId w:val="3"/>
        </w:numPr>
        <w:rPr>
          <w:rFonts w:asciiTheme="majorBidi" w:eastAsia="Times New Roman" w:hAnsiTheme="majorBidi" w:cs="Times New Roman"/>
          <w:sz w:val="24"/>
          <w:szCs w:val="24"/>
        </w:rPr>
      </w:pPr>
      <w:r w:rsidRPr="009B025D">
        <w:rPr>
          <w:rFonts w:asciiTheme="majorBidi" w:eastAsia="Times New Roman" w:hAnsiTheme="majorBidi" w:cs="Times New Roman"/>
          <w:sz w:val="24"/>
          <w:szCs w:val="24"/>
        </w:rPr>
        <w:t xml:space="preserve">Ministru kabineta 2016.gada 11.oktobra noteikumi Nr. 668 “Energoefektivitātes monitoringa un piemērojamā </w:t>
      </w:r>
      <w:proofErr w:type="spellStart"/>
      <w:r w:rsidRPr="009B025D">
        <w:rPr>
          <w:rFonts w:asciiTheme="majorBidi" w:eastAsia="Times New Roman" w:hAnsiTheme="majorBidi" w:cs="Times New Roman"/>
          <w:sz w:val="24"/>
          <w:szCs w:val="24"/>
        </w:rPr>
        <w:t>energopārvaldības</w:t>
      </w:r>
      <w:proofErr w:type="spellEnd"/>
      <w:r w:rsidRPr="009B025D">
        <w:rPr>
          <w:rFonts w:asciiTheme="majorBidi" w:eastAsia="Times New Roman" w:hAnsiTheme="majorBidi" w:cs="Times New Roman"/>
          <w:sz w:val="24"/>
          <w:szCs w:val="24"/>
        </w:rPr>
        <w:t xml:space="preserve"> sistēmas standarta noteikumi”</w:t>
      </w:r>
    </w:p>
    <w:p w14:paraId="25218A00" w14:textId="289B561C" w:rsidR="00490776" w:rsidRDefault="002C0752" w:rsidP="009B025D">
      <w:pPr>
        <w:pStyle w:val="Sarakstarindkopa"/>
        <w:numPr>
          <w:ilvl w:val="0"/>
          <w:numId w:val="3"/>
        </w:numPr>
        <w:spacing w:before="240" w:after="120"/>
        <w:jc w:val="both"/>
        <w:rPr>
          <w:rFonts w:asciiTheme="majorBidi" w:eastAsia="Times New Roman" w:hAnsiTheme="majorBidi" w:cs="Times New Roman"/>
          <w:sz w:val="24"/>
          <w:szCs w:val="24"/>
        </w:rPr>
      </w:pPr>
      <w:r w:rsidRPr="0048381F">
        <w:rPr>
          <w:rFonts w:asciiTheme="majorBidi" w:eastAsia="Times New Roman" w:hAnsiTheme="majorBidi" w:cs="Times New Roman"/>
          <w:sz w:val="24"/>
          <w:szCs w:val="24"/>
        </w:rPr>
        <w:t>LVS EN ISO/IEC 50001:2018 „</w:t>
      </w:r>
      <w:proofErr w:type="spellStart"/>
      <w:r w:rsidRPr="0048381F">
        <w:rPr>
          <w:rFonts w:asciiTheme="majorBidi" w:eastAsia="Times New Roman" w:hAnsiTheme="majorBidi" w:cs="Times New Roman"/>
          <w:sz w:val="24"/>
          <w:szCs w:val="24"/>
        </w:rPr>
        <w:t>Energopārvaldības</w:t>
      </w:r>
      <w:proofErr w:type="spellEnd"/>
      <w:r w:rsidRPr="0048381F">
        <w:rPr>
          <w:rFonts w:asciiTheme="majorBidi" w:eastAsia="Times New Roman" w:hAnsiTheme="majorBidi" w:cs="Times New Roman"/>
          <w:sz w:val="24"/>
          <w:szCs w:val="24"/>
        </w:rPr>
        <w:t xml:space="preserve"> sistēmas. Prasības un lietošanas norādījumi” (turpmāk ISO - 50001)</w:t>
      </w:r>
    </w:p>
    <w:p w14:paraId="4AB224A6" w14:textId="1D8AA70D" w:rsidR="00421F37" w:rsidRPr="009B025D" w:rsidRDefault="00421F37" w:rsidP="009B025D">
      <w:pPr>
        <w:pStyle w:val="Sarakstarindkopa"/>
        <w:numPr>
          <w:ilvl w:val="0"/>
          <w:numId w:val="3"/>
        </w:numPr>
        <w:spacing w:before="240" w:after="120"/>
        <w:jc w:val="both"/>
        <w:rPr>
          <w:rFonts w:asciiTheme="majorBidi" w:eastAsia="Times New Roman" w:hAnsiTheme="majorBidi" w:cs="Times New Roman"/>
          <w:sz w:val="24"/>
          <w:szCs w:val="24"/>
        </w:rPr>
      </w:pPr>
      <w:r w:rsidRPr="00421F37">
        <w:rPr>
          <w:rFonts w:asciiTheme="majorBidi" w:eastAsia="Times New Roman" w:hAnsiTheme="majorBidi" w:cs="Times New Roman"/>
          <w:sz w:val="24"/>
          <w:szCs w:val="24"/>
        </w:rPr>
        <w:t>LVS EN ISO/IEC 9001:2015 „Pārvaldības sistēmas. Prasības (ISO 9001:2015)”</w:t>
      </w:r>
    </w:p>
    <w:p w14:paraId="43468EA7" w14:textId="0D673779" w:rsidR="002C0752" w:rsidRPr="0048381F" w:rsidRDefault="002C0752" w:rsidP="009A61F5">
      <w:pPr>
        <w:spacing w:before="240" w:after="120"/>
        <w:jc w:val="both"/>
        <w:rPr>
          <w:rFonts w:asciiTheme="majorBidi" w:eastAsia="Times New Roman" w:hAnsiTheme="majorBidi" w:cs="Times New Roman"/>
          <w:b/>
          <w:bCs/>
          <w:sz w:val="24"/>
          <w:szCs w:val="24"/>
        </w:rPr>
      </w:pPr>
      <w:r w:rsidRPr="0048381F">
        <w:rPr>
          <w:rFonts w:asciiTheme="majorBidi" w:eastAsia="Times New Roman" w:hAnsiTheme="majorBidi" w:cs="Times New Roman"/>
          <w:b/>
          <w:bCs/>
          <w:sz w:val="24"/>
          <w:szCs w:val="24"/>
        </w:rPr>
        <w:t>Saistošie dokumenti:</w:t>
      </w:r>
    </w:p>
    <w:p w14:paraId="2F196872" w14:textId="1260F3D5" w:rsidR="00D8045E" w:rsidRDefault="00D8045E" w:rsidP="009A61F5">
      <w:pPr>
        <w:pStyle w:val="Sarakstarindkopa"/>
        <w:numPr>
          <w:ilvl w:val="0"/>
          <w:numId w:val="2"/>
        </w:numPr>
        <w:spacing w:before="240" w:after="120"/>
        <w:jc w:val="both"/>
        <w:rPr>
          <w:rFonts w:asciiTheme="majorBidi" w:eastAsia="Times New Roman" w:hAnsiTheme="majorBidi" w:cs="Times New Roman"/>
          <w:sz w:val="24"/>
          <w:szCs w:val="24"/>
        </w:rPr>
      </w:pPr>
      <w:proofErr w:type="spellStart"/>
      <w:r w:rsidRPr="00D8045E">
        <w:rPr>
          <w:rFonts w:asciiTheme="majorBidi" w:eastAsia="Times New Roman" w:hAnsiTheme="majorBidi" w:cs="Times New Roman"/>
          <w:sz w:val="24"/>
          <w:szCs w:val="24"/>
        </w:rPr>
        <w:t>Energopārvaldības</w:t>
      </w:r>
      <w:proofErr w:type="spellEnd"/>
      <w:r w:rsidRPr="00D8045E">
        <w:rPr>
          <w:rFonts w:asciiTheme="majorBidi" w:eastAsia="Times New Roman" w:hAnsiTheme="majorBidi" w:cs="Times New Roman"/>
          <w:sz w:val="24"/>
          <w:szCs w:val="24"/>
        </w:rPr>
        <w:t xml:space="preserve"> rokasgrāmata</w:t>
      </w:r>
    </w:p>
    <w:p w14:paraId="674BC084" w14:textId="660C7386" w:rsidR="00D8045E" w:rsidRDefault="00D8045E" w:rsidP="009A61F5">
      <w:pPr>
        <w:pStyle w:val="Sarakstarindkopa"/>
        <w:numPr>
          <w:ilvl w:val="0"/>
          <w:numId w:val="2"/>
        </w:numPr>
        <w:spacing w:before="240" w:after="120"/>
        <w:jc w:val="both"/>
        <w:rPr>
          <w:rFonts w:asciiTheme="majorBidi" w:eastAsia="Times New Roman" w:hAnsiTheme="majorBidi" w:cs="Times New Roman"/>
          <w:sz w:val="24"/>
          <w:szCs w:val="24"/>
        </w:rPr>
      </w:pPr>
      <w:proofErr w:type="spellStart"/>
      <w:r w:rsidRPr="00D8045E">
        <w:rPr>
          <w:rFonts w:asciiTheme="majorBidi" w:eastAsia="Times New Roman" w:hAnsiTheme="majorBidi" w:cs="Times New Roman"/>
          <w:sz w:val="24"/>
          <w:szCs w:val="24"/>
        </w:rPr>
        <w:t>Energopārvaldības</w:t>
      </w:r>
      <w:proofErr w:type="spellEnd"/>
      <w:r w:rsidRPr="00D8045E">
        <w:rPr>
          <w:rFonts w:asciiTheme="majorBidi" w:eastAsia="Times New Roman" w:hAnsiTheme="majorBidi" w:cs="Times New Roman"/>
          <w:sz w:val="24"/>
          <w:szCs w:val="24"/>
        </w:rPr>
        <w:t xml:space="preserve"> plāns</w:t>
      </w:r>
    </w:p>
    <w:p w14:paraId="79B642DA" w14:textId="4DC003A5" w:rsidR="00D8045E" w:rsidRDefault="00D8045E" w:rsidP="009A61F5">
      <w:pPr>
        <w:pStyle w:val="Sarakstarindkopa"/>
        <w:numPr>
          <w:ilvl w:val="0"/>
          <w:numId w:val="2"/>
        </w:numPr>
        <w:spacing w:before="240" w:after="120"/>
        <w:jc w:val="both"/>
        <w:rPr>
          <w:rFonts w:asciiTheme="majorBidi" w:eastAsia="Times New Roman" w:hAnsiTheme="majorBidi" w:cs="Times New Roman"/>
          <w:sz w:val="24"/>
          <w:szCs w:val="24"/>
        </w:rPr>
      </w:pPr>
      <w:r w:rsidRPr="00D8045E">
        <w:rPr>
          <w:rFonts w:asciiTheme="majorBidi" w:eastAsia="Times New Roman" w:hAnsiTheme="majorBidi" w:cs="Times New Roman"/>
          <w:sz w:val="24"/>
          <w:szCs w:val="24"/>
        </w:rPr>
        <w:t xml:space="preserve">Enerģijas patēriņa analīzes un vadības </w:t>
      </w:r>
      <w:proofErr w:type="spellStart"/>
      <w:r w:rsidRPr="00D8045E">
        <w:rPr>
          <w:rFonts w:asciiTheme="majorBidi" w:eastAsia="Times New Roman" w:hAnsiTheme="majorBidi" w:cs="Times New Roman"/>
          <w:sz w:val="24"/>
          <w:szCs w:val="24"/>
        </w:rPr>
        <w:t>pārskates</w:t>
      </w:r>
      <w:proofErr w:type="spellEnd"/>
      <w:r w:rsidRPr="00D8045E">
        <w:rPr>
          <w:rFonts w:asciiTheme="majorBidi" w:eastAsia="Times New Roman" w:hAnsiTheme="majorBidi" w:cs="Times New Roman"/>
          <w:sz w:val="24"/>
          <w:szCs w:val="24"/>
        </w:rPr>
        <w:t xml:space="preserve"> ziņojums</w:t>
      </w:r>
    </w:p>
    <w:p w14:paraId="17B63FA8" w14:textId="6B3766C7" w:rsidR="00D8045E" w:rsidRDefault="00D8045E" w:rsidP="009A61F5">
      <w:pPr>
        <w:pStyle w:val="Sarakstarindkopa"/>
        <w:numPr>
          <w:ilvl w:val="0"/>
          <w:numId w:val="2"/>
        </w:numPr>
        <w:spacing w:before="240" w:after="120"/>
        <w:jc w:val="both"/>
        <w:rPr>
          <w:rFonts w:asciiTheme="majorBidi" w:eastAsia="Times New Roman" w:hAnsiTheme="majorBidi" w:cs="Times New Roman"/>
          <w:sz w:val="24"/>
          <w:szCs w:val="24"/>
        </w:rPr>
      </w:pPr>
      <w:proofErr w:type="spellStart"/>
      <w:r w:rsidRPr="00D8045E">
        <w:rPr>
          <w:rFonts w:asciiTheme="majorBidi" w:eastAsia="Times New Roman" w:hAnsiTheme="majorBidi" w:cs="Times New Roman"/>
          <w:sz w:val="24"/>
          <w:szCs w:val="24"/>
        </w:rPr>
        <w:t>Energ</w:t>
      </w:r>
      <w:r w:rsidR="008172CA">
        <w:rPr>
          <w:rFonts w:asciiTheme="majorBidi" w:eastAsia="Times New Roman" w:hAnsiTheme="majorBidi" w:cs="Times New Roman"/>
          <w:sz w:val="24"/>
          <w:szCs w:val="24"/>
        </w:rPr>
        <w:t>o</w:t>
      </w:r>
      <w:r w:rsidRPr="00D8045E">
        <w:rPr>
          <w:rFonts w:asciiTheme="majorBidi" w:eastAsia="Times New Roman" w:hAnsiTheme="majorBidi" w:cs="Times New Roman"/>
          <w:sz w:val="24"/>
          <w:szCs w:val="24"/>
        </w:rPr>
        <w:t>pārvaldības</w:t>
      </w:r>
      <w:proofErr w:type="spellEnd"/>
      <w:r w:rsidRPr="00D8045E">
        <w:rPr>
          <w:rFonts w:asciiTheme="majorBidi" w:eastAsia="Times New Roman" w:hAnsiTheme="majorBidi" w:cs="Times New Roman"/>
          <w:sz w:val="24"/>
          <w:szCs w:val="24"/>
        </w:rPr>
        <w:t xml:space="preserve"> sistēmas audita ziņojums</w:t>
      </w:r>
    </w:p>
    <w:p w14:paraId="289A6F43" w14:textId="77777777" w:rsidR="00421F37" w:rsidRPr="00421F37" w:rsidRDefault="00421F37" w:rsidP="00421F37">
      <w:pPr>
        <w:pStyle w:val="Sarakstarindkopa"/>
        <w:numPr>
          <w:ilvl w:val="0"/>
          <w:numId w:val="2"/>
        </w:numPr>
        <w:spacing w:before="240" w:after="120"/>
        <w:jc w:val="both"/>
        <w:rPr>
          <w:rFonts w:asciiTheme="majorBidi" w:eastAsia="Times New Roman" w:hAnsiTheme="majorBidi" w:cs="Times New Roman"/>
          <w:sz w:val="24"/>
          <w:szCs w:val="24"/>
        </w:rPr>
      </w:pPr>
      <w:r w:rsidRPr="00421F37">
        <w:rPr>
          <w:rFonts w:asciiTheme="majorBidi" w:eastAsia="Times New Roman" w:hAnsiTheme="majorBidi" w:cs="Times New Roman"/>
          <w:sz w:val="24"/>
          <w:szCs w:val="24"/>
        </w:rPr>
        <w:t>Kvalitātes rokasgrāmata</w:t>
      </w:r>
    </w:p>
    <w:p w14:paraId="3366284F" w14:textId="2867A6B5" w:rsidR="00421F37" w:rsidRPr="00421F37" w:rsidRDefault="00421F37" w:rsidP="00421F37">
      <w:pPr>
        <w:pStyle w:val="Sarakstarindkopa"/>
        <w:numPr>
          <w:ilvl w:val="0"/>
          <w:numId w:val="2"/>
        </w:numPr>
        <w:spacing w:before="240" w:after="120"/>
        <w:jc w:val="both"/>
        <w:rPr>
          <w:rFonts w:asciiTheme="majorBidi" w:eastAsia="Times New Roman" w:hAnsiTheme="majorBidi" w:cs="Times New Roman"/>
          <w:sz w:val="24"/>
          <w:szCs w:val="24"/>
        </w:rPr>
      </w:pPr>
      <w:r w:rsidRPr="00421F37">
        <w:rPr>
          <w:rFonts w:asciiTheme="majorBidi" w:eastAsia="Times New Roman" w:hAnsiTheme="majorBidi" w:cs="Times New Roman"/>
          <w:sz w:val="24"/>
          <w:szCs w:val="24"/>
        </w:rPr>
        <w:t>Dokumentu vadības noteikumi</w:t>
      </w:r>
    </w:p>
    <w:p w14:paraId="71A935B1" w14:textId="77777777" w:rsidR="00A50BFE" w:rsidRPr="0048381F" w:rsidRDefault="00A50BFE" w:rsidP="009A61F5">
      <w:pPr>
        <w:spacing w:before="240" w:after="120"/>
        <w:jc w:val="both"/>
        <w:rPr>
          <w:rFonts w:asciiTheme="majorBidi" w:eastAsia="Times New Roman" w:hAnsiTheme="majorBidi" w:cs="Times New Roman"/>
          <w:b/>
          <w:bCs/>
          <w:sz w:val="24"/>
          <w:szCs w:val="24"/>
        </w:rPr>
      </w:pPr>
      <w:r w:rsidRPr="0048381F">
        <w:rPr>
          <w:rFonts w:asciiTheme="majorBidi" w:eastAsia="Times New Roman" w:hAnsiTheme="majorBidi" w:cs="Times New Roman"/>
          <w:b/>
          <w:bCs/>
          <w:sz w:val="24"/>
          <w:szCs w:val="24"/>
        </w:rPr>
        <w:t>IV Definīcijas un saīsinājumi</w:t>
      </w:r>
    </w:p>
    <w:p w14:paraId="3293F5E1" w14:textId="4D52BD20" w:rsidR="002C0752" w:rsidRDefault="00A50BFE" w:rsidP="009A61F5">
      <w:pPr>
        <w:spacing w:before="240" w:after="120"/>
        <w:jc w:val="both"/>
        <w:rPr>
          <w:rFonts w:asciiTheme="majorBidi" w:eastAsia="Times New Roman" w:hAnsiTheme="majorBidi" w:cs="Times New Roman"/>
          <w:sz w:val="24"/>
          <w:szCs w:val="24"/>
        </w:rPr>
      </w:pPr>
      <w:r w:rsidRPr="0048381F">
        <w:rPr>
          <w:rFonts w:asciiTheme="majorBidi" w:eastAsia="Times New Roman" w:hAnsiTheme="majorBidi" w:cs="Times New Roman"/>
          <w:b/>
          <w:bCs/>
          <w:sz w:val="24"/>
          <w:szCs w:val="24"/>
        </w:rPr>
        <w:t>LVĢMC</w:t>
      </w:r>
      <w:r w:rsidRPr="00A50BFE">
        <w:rPr>
          <w:rFonts w:asciiTheme="majorBidi" w:eastAsia="Times New Roman" w:hAnsiTheme="majorBidi" w:cs="Times New Roman"/>
          <w:sz w:val="24"/>
          <w:szCs w:val="24"/>
        </w:rPr>
        <w:t xml:space="preserve"> – VSIA “Latvijas Vides, ģeoloģijas un meteoroloģijas centrs”</w:t>
      </w:r>
    </w:p>
    <w:p w14:paraId="5D994675" w14:textId="77777777" w:rsidR="004517D3" w:rsidRDefault="004517D3" w:rsidP="009A61F5">
      <w:pPr>
        <w:spacing w:before="240" w:after="120"/>
        <w:jc w:val="both"/>
        <w:rPr>
          <w:rFonts w:asciiTheme="majorBidi" w:eastAsia="Times New Roman" w:hAnsiTheme="majorBidi" w:cs="Times New Roman"/>
          <w:b/>
          <w:bCs/>
          <w:sz w:val="24"/>
          <w:szCs w:val="24"/>
        </w:rPr>
      </w:pPr>
    </w:p>
    <w:p w14:paraId="14434161" w14:textId="494E582B" w:rsidR="001F7C5D" w:rsidRPr="0048381F" w:rsidRDefault="00A50BFE" w:rsidP="009A61F5">
      <w:pPr>
        <w:spacing w:before="240" w:after="120"/>
        <w:jc w:val="both"/>
        <w:rPr>
          <w:rFonts w:asciiTheme="majorBidi" w:eastAsia="Times New Roman" w:hAnsiTheme="majorBidi" w:cs="Times New Roman"/>
          <w:b/>
          <w:bCs/>
          <w:sz w:val="24"/>
          <w:szCs w:val="24"/>
        </w:rPr>
      </w:pPr>
      <w:r w:rsidRPr="0048381F">
        <w:rPr>
          <w:rFonts w:asciiTheme="majorBidi" w:eastAsia="Times New Roman" w:hAnsiTheme="majorBidi" w:cs="Times New Roman"/>
          <w:b/>
          <w:bCs/>
          <w:sz w:val="24"/>
          <w:szCs w:val="24"/>
        </w:rPr>
        <w:lastRenderedPageBreak/>
        <w:t>V Vispārīgi</w:t>
      </w:r>
    </w:p>
    <w:p w14:paraId="037050DB" w14:textId="345330C3" w:rsidR="00421F37" w:rsidRPr="00421F37" w:rsidRDefault="00421F37" w:rsidP="00421F37">
      <w:pPr>
        <w:pStyle w:val="Sarakstarindkopa"/>
        <w:widowControl w:val="0"/>
        <w:numPr>
          <w:ilvl w:val="0"/>
          <w:numId w:val="4"/>
        </w:numPr>
        <w:pBdr>
          <w:top w:val="nil"/>
          <w:left w:val="nil"/>
          <w:bottom w:val="nil"/>
          <w:right w:val="nil"/>
          <w:between w:val="nil"/>
        </w:pBdr>
        <w:spacing w:line="241" w:lineRule="auto"/>
        <w:ind w:right="-5"/>
        <w:jc w:val="both"/>
        <w:rPr>
          <w:rFonts w:ascii="Times New Roman" w:eastAsia="Times New Roman" w:hAnsi="Times New Roman" w:cs="Times New Roman"/>
          <w:color w:val="262626"/>
          <w:sz w:val="24"/>
          <w:szCs w:val="24"/>
        </w:rPr>
      </w:pPr>
      <w:r w:rsidRPr="00421F37">
        <w:rPr>
          <w:rFonts w:ascii="Times New Roman" w:eastAsia="Times New Roman" w:hAnsi="Times New Roman" w:cs="Times New Roman"/>
          <w:color w:val="000000"/>
          <w:sz w:val="24"/>
          <w:szCs w:val="24"/>
        </w:rPr>
        <w:t xml:space="preserve">LVĢMC </w:t>
      </w:r>
      <w:r w:rsidRPr="00421F37">
        <w:rPr>
          <w:rFonts w:ascii="Times New Roman" w:eastAsia="Times New Roman" w:hAnsi="Times New Roman" w:cs="Times New Roman"/>
          <w:color w:val="262626"/>
          <w:sz w:val="24"/>
          <w:szCs w:val="24"/>
        </w:rPr>
        <w:t xml:space="preserve">ir valsts  uzņēmums, kas apkopo, uzkrāj un sniedz sabiedrībai, valsts un pašvaldību institūcijām vides informāciju; veic vides monitoringu; apzina un izvērtē zemes dzīļu resursus; apsaimnieko valstij piederošos bīstamo atkritumu  apsaimniekošanas objektus un piedalās valsts politikas īstenošanā ģeoloģijas, meteoroloģijas, klimatoloģijas,  hidroloģijas, ūdens un gaisa kvalitātes, pārrobežu gaisa piesārņojuma ietekmes un radioaktīvo un bīstamo  atkritumu apsaimniekošanas jomā. </w:t>
      </w:r>
    </w:p>
    <w:p w14:paraId="6E29C4B1" w14:textId="11E1D36C" w:rsidR="009C5038" w:rsidRPr="009C5038" w:rsidRDefault="009C5038" w:rsidP="009C5038">
      <w:pPr>
        <w:pStyle w:val="Sarakstarindkopa"/>
        <w:widowControl w:val="0"/>
        <w:numPr>
          <w:ilvl w:val="0"/>
          <w:numId w:val="4"/>
        </w:numPr>
        <w:pBdr>
          <w:top w:val="nil"/>
          <w:left w:val="nil"/>
          <w:bottom w:val="nil"/>
          <w:right w:val="nil"/>
          <w:between w:val="nil"/>
        </w:pBdr>
        <w:spacing w:before="166" w:line="240" w:lineRule="auto"/>
        <w:rPr>
          <w:rFonts w:ascii="Times New Roman" w:eastAsia="Times New Roman" w:hAnsi="Times New Roman" w:cs="Times New Roman"/>
          <w:b/>
          <w:color w:val="000000"/>
          <w:sz w:val="24"/>
          <w:szCs w:val="24"/>
        </w:rPr>
      </w:pPr>
      <w:r w:rsidRPr="009C5038">
        <w:rPr>
          <w:rFonts w:ascii="Times New Roman" w:eastAsia="Times New Roman" w:hAnsi="Times New Roman" w:cs="Times New Roman"/>
          <w:b/>
          <w:color w:val="000000"/>
          <w:sz w:val="24"/>
          <w:szCs w:val="24"/>
        </w:rPr>
        <w:t xml:space="preserve">Operacionālā politika </w:t>
      </w:r>
    </w:p>
    <w:p w14:paraId="536BA0F4" w14:textId="331B187F" w:rsidR="009C5038" w:rsidRPr="009C5038" w:rsidRDefault="009C5038" w:rsidP="009C5038">
      <w:pPr>
        <w:pStyle w:val="Sarakstarindkopa"/>
        <w:widowControl w:val="0"/>
        <w:numPr>
          <w:ilvl w:val="1"/>
          <w:numId w:val="4"/>
        </w:numPr>
        <w:pBdr>
          <w:top w:val="nil"/>
          <w:left w:val="nil"/>
          <w:bottom w:val="nil"/>
          <w:right w:val="nil"/>
          <w:between w:val="nil"/>
        </w:pBdr>
        <w:spacing w:before="75" w:line="242" w:lineRule="auto"/>
        <w:ind w:right="-6"/>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LVĢMC izvērtē enerģijas izmaksas, patēriņu un ietekmi uz vidi, projektējot ēku un iekārtu izbūvi un  atjaunošanu, kā arī, veicot iekārtu, autotransporta un pakalpojumu iegādi, kas būtiski ietekmē patērētās  enerģijas apmēru. </w:t>
      </w:r>
    </w:p>
    <w:p w14:paraId="630A84C9" w14:textId="3187A01F" w:rsidR="009C5038" w:rsidRPr="009C5038" w:rsidRDefault="009C5038" w:rsidP="009C5038">
      <w:pPr>
        <w:pStyle w:val="Sarakstarindkopa"/>
        <w:widowControl w:val="0"/>
        <w:numPr>
          <w:ilvl w:val="1"/>
          <w:numId w:val="4"/>
        </w:numPr>
        <w:pBdr>
          <w:top w:val="nil"/>
          <w:left w:val="nil"/>
          <w:bottom w:val="nil"/>
          <w:right w:val="nil"/>
          <w:between w:val="nil"/>
        </w:pBdr>
        <w:spacing w:before="128" w:line="239" w:lineRule="auto"/>
        <w:ind w:right="1"/>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Ēku, iekārtu un autotransporta apkope un uzturēšana tiek veikta plānveidīgi, lai pēc iespējas novērstu  neparedzētu enerģijas patēriņu un pakalpojumu sniegšanas novirzes. </w:t>
      </w:r>
    </w:p>
    <w:p w14:paraId="2594EC30" w14:textId="3B1692E3" w:rsidR="009C5038" w:rsidRPr="009C5038" w:rsidRDefault="009C5038" w:rsidP="009C5038">
      <w:pPr>
        <w:pStyle w:val="Sarakstarindkopa"/>
        <w:widowControl w:val="0"/>
        <w:numPr>
          <w:ilvl w:val="1"/>
          <w:numId w:val="4"/>
        </w:numPr>
        <w:pBdr>
          <w:top w:val="nil"/>
          <w:left w:val="nil"/>
          <w:bottom w:val="nil"/>
          <w:right w:val="nil"/>
          <w:between w:val="nil"/>
        </w:pBdr>
        <w:spacing w:before="130" w:line="241" w:lineRule="auto"/>
        <w:ind w:right="-4"/>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Lai pēc iespējas ātrāk novērstu ēku, iekārtu un autotransporta bojājumus vai darbības novirzes no  normas, kas var negatīvi ietekmēt energoefektivitāti, katra darbinieka pienākums, kas strādā uzņēmuma  uzdevumā, ir ziņot par šo faktu savam tiešajam vadītājam vai par iekārtu apkalpošanu atbildīgajam  personālam.  </w:t>
      </w:r>
    </w:p>
    <w:p w14:paraId="5D35A6C2" w14:textId="6C0DEF32" w:rsidR="009C5038" w:rsidRPr="009C5038" w:rsidRDefault="009C5038" w:rsidP="009C5038">
      <w:pPr>
        <w:pStyle w:val="Sarakstarindkopa"/>
        <w:widowControl w:val="0"/>
        <w:numPr>
          <w:ilvl w:val="1"/>
          <w:numId w:val="4"/>
        </w:numPr>
        <w:pBdr>
          <w:top w:val="nil"/>
          <w:left w:val="nil"/>
          <w:bottom w:val="nil"/>
          <w:right w:val="nil"/>
          <w:between w:val="nil"/>
        </w:pBdr>
        <w:spacing w:before="129" w:line="241" w:lineRule="auto"/>
        <w:ind w:right="-2"/>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Veicot iepirkumus, LVĢMC ņem vērā ne tikai sākotnējos iegādes un uzstādīšanas izdevumus, bet arī  ekspluatācijas un uzturēšanas izmaksas visā ēku, iekārtu vai transporta līdzekļu dzīves ciklā vai investīciju  atmaksāšanās periodā. </w:t>
      </w:r>
    </w:p>
    <w:p w14:paraId="6E4B3897" w14:textId="6D9E3E1B" w:rsidR="009C5038" w:rsidRPr="009C5038" w:rsidRDefault="009C5038" w:rsidP="009C5038">
      <w:pPr>
        <w:pStyle w:val="Sarakstarindkopa"/>
        <w:widowControl w:val="0"/>
        <w:numPr>
          <w:ilvl w:val="0"/>
          <w:numId w:val="4"/>
        </w:numPr>
        <w:pBdr>
          <w:top w:val="nil"/>
          <w:left w:val="nil"/>
          <w:bottom w:val="nil"/>
          <w:right w:val="nil"/>
          <w:between w:val="nil"/>
        </w:pBdr>
        <w:spacing w:before="167" w:line="240" w:lineRule="auto"/>
        <w:rPr>
          <w:rFonts w:ascii="Times New Roman" w:eastAsia="Times New Roman" w:hAnsi="Times New Roman" w:cs="Times New Roman"/>
          <w:b/>
          <w:color w:val="000000"/>
          <w:sz w:val="24"/>
          <w:szCs w:val="24"/>
        </w:rPr>
      </w:pPr>
      <w:r w:rsidRPr="009C5038">
        <w:rPr>
          <w:rFonts w:ascii="Times New Roman" w:eastAsia="Times New Roman" w:hAnsi="Times New Roman" w:cs="Times New Roman"/>
          <w:b/>
          <w:color w:val="000000"/>
          <w:sz w:val="24"/>
          <w:szCs w:val="24"/>
        </w:rPr>
        <w:t xml:space="preserve">Informācija un komunikācija </w:t>
      </w:r>
    </w:p>
    <w:p w14:paraId="56C6EA12" w14:textId="6AC19634" w:rsidR="009C5038" w:rsidRPr="009C5038" w:rsidRDefault="009C5038" w:rsidP="009C5038">
      <w:pPr>
        <w:pStyle w:val="Sarakstarindkopa"/>
        <w:widowControl w:val="0"/>
        <w:numPr>
          <w:ilvl w:val="1"/>
          <w:numId w:val="4"/>
        </w:numPr>
        <w:pBdr>
          <w:top w:val="nil"/>
          <w:left w:val="nil"/>
          <w:bottom w:val="nil"/>
          <w:right w:val="nil"/>
          <w:between w:val="nil"/>
        </w:pBdr>
        <w:spacing w:before="75" w:line="241" w:lineRule="auto"/>
        <w:ind w:right="-6"/>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LVĢMC par šo </w:t>
      </w:r>
      <w:proofErr w:type="spellStart"/>
      <w:r w:rsidRPr="009C5038">
        <w:rPr>
          <w:rFonts w:ascii="Times New Roman" w:eastAsia="Times New Roman" w:hAnsi="Times New Roman" w:cs="Times New Roman"/>
          <w:color w:val="262626"/>
          <w:sz w:val="24"/>
          <w:szCs w:val="24"/>
        </w:rPr>
        <w:t>energopārvaldības</w:t>
      </w:r>
      <w:proofErr w:type="spellEnd"/>
      <w:r w:rsidRPr="009C5038">
        <w:rPr>
          <w:rFonts w:ascii="Times New Roman" w:eastAsia="Times New Roman" w:hAnsi="Times New Roman" w:cs="Times New Roman"/>
          <w:color w:val="262626"/>
          <w:sz w:val="24"/>
          <w:szCs w:val="24"/>
        </w:rPr>
        <w:t xml:space="preserve"> politiku informē savus darbiniekus, kā arī apakšuzņēmējus un  piegādātājus, sadarbība ar kuriem ietekmē būtisku enerģijas patēriņu.  </w:t>
      </w:r>
    </w:p>
    <w:p w14:paraId="280EA010" w14:textId="1FAC4799" w:rsidR="009C5038" w:rsidRPr="009C5038" w:rsidRDefault="009C5038" w:rsidP="009C5038">
      <w:pPr>
        <w:pStyle w:val="Sarakstarindkopa"/>
        <w:widowControl w:val="0"/>
        <w:numPr>
          <w:ilvl w:val="1"/>
          <w:numId w:val="4"/>
        </w:numPr>
        <w:pBdr>
          <w:top w:val="nil"/>
          <w:left w:val="nil"/>
          <w:bottom w:val="nil"/>
          <w:right w:val="nil"/>
          <w:between w:val="nil"/>
        </w:pBdr>
        <w:spacing w:before="128" w:line="241" w:lineRule="auto"/>
        <w:ind w:right="-1"/>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Komunikācija ar darbiniekiem tiek nodrošināta plānošanas sapulcēs, lai informētu par </w:t>
      </w:r>
      <w:proofErr w:type="spellStart"/>
      <w:r w:rsidRPr="009C5038">
        <w:rPr>
          <w:rFonts w:ascii="Times New Roman" w:eastAsia="Times New Roman" w:hAnsi="Times New Roman" w:cs="Times New Roman"/>
          <w:color w:val="262626"/>
          <w:sz w:val="24"/>
          <w:szCs w:val="24"/>
        </w:rPr>
        <w:t>energopārvaldības</w:t>
      </w:r>
      <w:proofErr w:type="spellEnd"/>
      <w:r w:rsidRPr="009C5038">
        <w:rPr>
          <w:rFonts w:ascii="Times New Roman" w:eastAsia="Times New Roman" w:hAnsi="Times New Roman" w:cs="Times New Roman"/>
          <w:color w:val="262626"/>
          <w:sz w:val="24"/>
          <w:szCs w:val="24"/>
        </w:rPr>
        <w:t xml:space="preserve">  mērķiem, to izpildi, kā arī iespējamajiem energoefektivitātes uzlabojumiem.  </w:t>
      </w:r>
    </w:p>
    <w:p w14:paraId="541F5263" w14:textId="69C56875" w:rsidR="009C5038" w:rsidRPr="009C5038" w:rsidRDefault="009C5038" w:rsidP="009C5038">
      <w:pPr>
        <w:pStyle w:val="Sarakstarindkopa"/>
        <w:widowControl w:val="0"/>
        <w:numPr>
          <w:ilvl w:val="1"/>
          <w:numId w:val="4"/>
        </w:numPr>
        <w:pBdr>
          <w:top w:val="nil"/>
          <w:left w:val="nil"/>
          <w:bottom w:val="nil"/>
          <w:right w:val="nil"/>
          <w:between w:val="nil"/>
        </w:pBdr>
        <w:spacing w:before="126" w:line="241" w:lineRule="auto"/>
        <w:ind w:right="-4"/>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LVĢMC informē ieinteresētās puses par LVĢMC </w:t>
      </w:r>
      <w:proofErr w:type="spellStart"/>
      <w:r w:rsidRPr="009C5038">
        <w:rPr>
          <w:rFonts w:ascii="Times New Roman" w:eastAsia="Times New Roman" w:hAnsi="Times New Roman" w:cs="Times New Roman"/>
          <w:color w:val="262626"/>
          <w:sz w:val="24"/>
          <w:szCs w:val="24"/>
        </w:rPr>
        <w:t>energopārvaldības</w:t>
      </w:r>
      <w:proofErr w:type="spellEnd"/>
      <w:r w:rsidRPr="009C5038">
        <w:rPr>
          <w:rFonts w:ascii="Times New Roman" w:eastAsia="Times New Roman" w:hAnsi="Times New Roman" w:cs="Times New Roman"/>
          <w:color w:val="262626"/>
          <w:sz w:val="24"/>
          <w:szCs w:val="24"/>
        </w:rPr>
        <w:t xml:space="preserve"> politiku,  publicējot informāciju LVĢMC mājas lapā </w:t>
      </w:r>
      <w:r w:rsidR="007C4792" w:rsidRPr="007C4792">
        <w:rPr>
          <w:rFonts w:ascii="Times New Roman" w:eastAsia="Times New Roman" w:hAnsi="Times New Roman" w:cs="Times New Roman"/>
          <w:color w:val="262626"/>
          <w:sz w:val="24"/>
          <w:szCs w:val="24"/>
        </w:rPr>
        <w:t>https://videscentrs.lvgmc.lv/</w:t>
      </w:r>
      <w:r w:rsidRPr="009C5038">
        <w:rPr>
          <w:rFonts w:ascii="Times New Roman" w:eastAsia="Times New Roman" w:hAnsi="Times New Roman" w:cs="Times New Roman"/>
          <w:color w:val="262626"/>
          <w:sz w:val="24"/>
          <w:szCs w:val="24"/>
        </w:rPr>
        <w:t xml:space="preserve">. </w:t>
      </w:r>
    </w:p>
    <w:p w14:paraId="50A8923B" w14:textId="497862E7" w:rsidR="009C5038" w:rsidRPr="009C5038" w:rsidRDefault="009C5038" w:rsidP="009C5038">
      <w:pPr>
        <w:pStyle w:val="Sarakstarindkopa"/>
        <w:widowControl w:val="0"/>
        <w:numPr>
          <w:ilvl w:val="0"/>
          <w:numId w:val="4"/>
        </w:numPr>
        <w:pBdr>
          <w:top w:val="nil"/>
          <w:left w:val="nil"/>
          <w:bottom w:val="nil"/>
          <w:right w:val="nil"/>
          <w:between w:val="nil"/>
        </w:pBdr>
        <w:spacing w:before="169" w:line="240" w:lineRule="auto"/>
        <w:rPr>
          <w:rFonts w:ascii="Times New Roman" w:eastAsia="Times New Roman" w:hAnsi="Times New Roman" w:cs="Times New Roman"/>
          <w:b/>
          <w:color w:val="000000"/>
          <w:sz w:val="24"/>
          <w:szCs w:val="24"/>
        </w:rPr>
      </w:pPr>
      <w:r w:rsidRPr="009C5038">
        <w:rPr>
          <w:rFonts w:ascii="Times New Roman" w:eastAsia="Times New Roman" w:hAnsi="Times New Roman" w:cs="Times New Roman"/>
          <w:b/>
          <w:color w:val="000000"/>
          <w:sz w:val="24"/>
          <w:szCs w:val="24"/>
        </w:rPr>
        <w:t xml:space="preserve">Zināšanas un kompetence </w:t>
      </w:r>
    </w:p>
    <w:p w14:paraId="6DFEBB58" w14:textId="2A772504" w:rsidR="009C5038" w:rsidRPr="009C5038" w:rsidRDefault="009C5038" w:rsidP="009C5038">
      <w:pPr>
        <w:pStyle w:val="Sarakstarindkopa"/>
        <w:widowControl w:val="0"/>
        <w:numPr>
          <w:ilvl w:val="1"/>
          <w:numId w:val="4"/>
        </w:numPr>
        <w:pBdr>
          <w:top w:val="nil"/>
          <w:left w:val="nil"/>
          <w:bottom w:val="nil"/>
          <w:right w:val="nil"/>
          <w:between w:val="nil"/>
        </w:pBdr>
        <w:spacing w:before="75" w:line="239" w:lineRule="auto"/>
        <w:ind w:right="-4"/>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LVĢMC darbiniekiem tiek nodrošināta iespēja papildināt savas zināšanas par energoefektivitātes  jautājumiem, kas var uzlabot </w:t>
      </w:r>
      <w:r w:rsidRPr="009C5038">
        <w:rPr>
          <w:rFonts w:ascii="Times New Roman" w:eastAsia="Times New Roman" w:hAnsi="Times New Roman" w:cs="Times New Roman"/>
          <w:color w:val="000000"/>
          <w:sz w:val="24"/>
          <w:szCs w:val="24"/>
        </w:rPr>
        <w:t xml:space="preserve">LVĢMC </w:t>
      </w:r>
      <w:r w:rsidRPr="009C5038">
        <w:rPr>
          <w:rFonts w:ascii="Times New Roman" w:eastAsia="Times New Roman" w:hAnsi="Times New Roman" w:cs="Times New Roman"/>
          <w:color w:val="262626"/>
          <w:sz w:val="24"/>
          <w:szCs w:val="24"/>
        </w:rPr>
        <w:t xml:space="preserve">energoefektivitātes rādītājus. </w:t>
      </w:r>
    </w:p>
    <w:p w14:paraId="60661DF8" w14:textId="37D3CFEA" w:rsidR="009C5038" w:rsidRDefault="009C5038" w:rsidP="009C5038">
      <w:pPr>
        <w:pStyle w:val="Sarakstarindkopa"/>
        <w:widowControl w:val="0"/>
        <w:numPr>
          <w:ilvl w:val="1"/>
          <w:numId w:val="4"/>
        </w:numPr>
        <w:pBdr>
          <w:top w:val="nil"/>
          <w:left w:val="nil"/>
          <w:bottom w:val="nil"/>
          <w:right w:val="nil"/>
          <w:between w:val="nil"/>
        </w:pBdr>
        <w:spacing w:before="130" w:line="242" w:lineRule="auto"/>
        <w:ind w:right="-5"/>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LVĢMC definē prasības ārējiem piegādātājiem un apakšuzņēmējiem iepirkuma procedūru ietvaros, tai  skaitā, nosakot personāla kompetenci jomās, kas būtiski ietekmē patērētās enerģijas apmēru, un, nosakot  prasības savstarpējai komunikācijai. </w:t>
      </w:r>
    </w:p>
    <w:p w14:paraId="5F1942B8" w14:textId="77777777" w:rsidR="008172CA" w:rsidRPr="008172CA" w:rsidRDefault="008172CA" w:rsidP="008172CA">
      <w:pPr>
        <w:widowControl w:val="0"/>
        <w:pBdr>
          <w:top w:val="nil"/>
          <w:left w:val="nil"/>
          <w:bottom w:val="nil"/>
          <w:right w:val="nil"/>
          <w:between w:val="nil"/>
        </w:pBdr>
        <w:spacing w:before="130" w:line="242" w:lineRule="auto"/>
        <w:ind w:left="360" w:right="-5"/>
        <w:jc w:val="both"/>
        <w:rPr>
          <w:rFonts w:ascii="Times New Roman" w:eastAsia="Times New Roman" w:hAnsi="Times New Roman" w:cs="Times New Roman"/>
          <w:color w:val="262626"/>
          <w:sz w:val="24"/>
          <w:szCs w:val="24"/>
        </w:rPr>
      </w:pPr>
    </w:p>
    <w:p w14:paraId="4898AECD" w14:textId="53DC0618" w:rsidR="009C5038" w:rsidRPr="009C5038" w:rsidRDefault="009C5038" w:rsidP="009C5038">
      <w:pPr>
        <w:pStyle w:val="Sarakstarindkopa"/>
        <w:widowControl w:val="0"/>
        <w:numPr>
          <w:ilvl w:val="0"/>
          <w:numId w:val="4"/>
        </w:numPr>
        <w:pBdr>
          <w:top w:val="nil"/>
          <w:left w:val="nil"/>
          <w:bottom w:val="nil"/>
          <w:right w:val="nil"/>
          <w:between w:val="nil"/>
        </w:pBdr>
        <w:spacing w:before="166" w:line="240" w:lineRule="auto"/>
        <w:rPr>
          <w:rFonts w:ascii="Times New Roman" w:eastAsia="Times New Roman" w:hAnsi="Times New Roman" w:cs="Times New Roman"/>
          <w:b/>
          <w:color w:val="000000"/>
          <w:sz w:val="24"/>
          <w:szCs w:val="24"/>
        </w:rPr>
      </w:pPr>
      <w:r w:rsidRPr="009C5038">
        <w:rPr>
          <w:rFonts w:ascii="Times New Roman" w:eastAsia="Times New Roman" w:hAnsi="Times New Roman" w:cs="Times New Roman"/>
          <w:b/>
          <w:color w:val="000000"/>
          <w:sz w:val="24"/>
          <w:szCs w:val="24"/>
        </w:rPr>
        <w:lastRenderedPageBreak/>
        <w:t xml:space="preserve">Resursi </w:t>
      </w:r>
    </w:p>
    <w:p w14:paraId="2476C40B" w14:textId="3AE2A880" w:rsidR="009C5038" w:rsidRPr="009C5038" w:rsidRDefault="009C5038" w:rsidP="009C5038">
      <w:pPr>
        <w:pStyle w:val="Sarakstarindkopa"/>
        <w:widowControl w:val="0"/>
        <w:numPr>
          <w:ilvl w:val="1"/>
          <w:numId w:val="4"/>
        </w:numPr>
        <w:pBdr>
          <w:top w:val="nil"/>
          <w:left w:val="nil"/>
          <w:bottom w:val="nil"/>
          <w:right w:val="nil"/>
          <w:between w:val="nil"/>
        </w:pBdr>
        <w:spacing w:before="75" w:line="241" w:lineRule="auto"/>
        <w:ind w:right="-1"/>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Resursi LVĢMC energoefektivitātes uzturēšanai un uzlabošanai tiek plānoti un piešķirti ikgadējā  budžeta ietvaros, kā arī, veicot konkrētu investīciju projektu plānošanu. Kur tas ir iespējams,  energoefektivitātes uzlabošanai LVĢMC piesaista ārējus finansējuma avotus.</w:t>
      </w:r>
    </w:p>
    <w:p w14:paraId="7B4B9E1A" w14:textId="246711EA" w:rsidR="009C5038" w:rsidRPr="009C5038" w:rsidRDefault="009C5038" w:rsidP="009C5038">
      <w:pPr>
        <w:pStyle w:val="Sarakstarindkopa"/>
        <w:keepNext/>
        <w:widowControl w:val="0"/>
        <w:numPr>
          <w:ilvl w:val="0"/>
          <w:numId w:val="4"/>
        </w:numPr>
        <w:pBdr>
          <w:top w:val="nil"/>
          <w:left w:val="nil"/>
          <w:bottom w:val="nil"/>
          <w:right w:val="nil"/>
          <w:between w:val="nil"/>
        </w:pBdr>
        <w:spacing w:before="240" w:line="240" w:lineRule="auto"/>
        <w:rPr>
          <w:rFonts w:ascii="Times New Roman" w:eastAsia="Times New Roman" w:hAnsi="Times New Roman" w:cs="Times New Roman"/>
          <w:b/>
          <w:color w:val="000000"/>
          <w:sz w:val="24"/>
          <w:szCs w:val="24"/>
        </w:rPr>
      </w:pPr>
      <w:r w:rsidRPr="009C5038">
        <w:rPr>
          <w:rFonts w:ascii="Times New Roman" w:eastAsia="Times New Roman" w:hAnsi="Times New Roman" w:cs="Times New Roman"/>
          <w:b/>
          <w:color w:val="000000"/>
          <w:sz w:val="24"/>
          <w:szCs w:val="24"/>
        </w:rPr>
        <w:t xml:space="preserve">Atbilstība un nepārtraukta uzlabošana </w:t>
      </w:r>
    </w:p>
    <w:p w14:paraId="1EFD4FEC" w14:textId="21270890" w:rsidR="009C5038" w:rsidRPr="009C5038" w:rsidRDefault="009C5038" w:rsidP="009C5038">
      <w:pPr>
        <w:pStyle w:val="Sarakstarindkopa"/>
        <w:widowControl w:val="0"/>
        <w:numPr>
          <w:ilvl w:val="1"/>
          <w:numId w:val="4"/>
        </w:numPr>
        <w:pBdr>
          <w:top w:val="nil"/>
          <w:left w:val="nil"/>
          <w:bottom w:val="nil"/>
          <w:right w:val="nil"/>
          <w:between w:val="nil"/>
        </w:pBdr>
        <w:spacing w:before="75" w:line="241" w:lineRule="auto"/>
        <w:ind w:right="-5"/>
        <w:jc w:val="both"/>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LVĢMC apņemas regulāri pārskatīt un nodrošināt LVĢMC </w:t>
      </w:r>
      <w:proofErr w:type="spellStart"/>
      <w:r w:rsidRPr="009C5038">
        <w:rPr>
          <w:rFonts w:ascii="Times New Roman" w:eastAsia="Times New Roman" w:hAnsi="Times New Roman" w:cs="Times New Roman"/>
          <w:color w:val="262626"/>
          <w:sz w:val="24"/>
          <w:szCs w:val="24"/>
        </w:rPr>
        <w:t>energopārvaldības</w:t>
      </w:r>
      <w:proofErr w:type="spellEnd"/>
      <w:r w:rsidRPr="009C5038">
        <w:rPr>
          <w:rFonts w:ascii="Times New Roman" w:eastAsia="Times New Roman" w:hAnsi="Times New Roman" w:cs="Times New Roman"/>
          <w:color w:val="262626"/>
          <w:sz w:val="24"/>
          <w:szCs w:val="24"/>
        </w:rPr>
        <w:t xml:space="preserve"> sistēmas atbilstību  enerģijas patēriņa un lietošanas jomu regulējošo normatīvo aktu, līgumu un standartu prasībām. Atbilstība šīs  </w:t>
      </w:r>
      <w:proofErr w:type="spellStart"/>
      <w:r w:rsidRPr="009C5038">
        <w:rPr>
          <w:rFonts w:ascii="Times New Roman" w:eastAsia="Times New Roman" w:hAnsi="Times New Roman" w:cs="Times New Roman"/>
          <w:color w:val="262626"/>
          <w:sz w:val="24"/>
          <w:szCs w:val="24"/>
        </w:rPr>
        <w:t>Energopārvaldības</w:t>
      </w:r>
      <w:proofErr w:type="spellEnd"/>
      <w:r w:rsidRPr="009C5038">
        <w:rPr>
          <w:rFonts w:ascii="Times New Roman" w:eastAsia="Times New Roman" w:hAnsi="Times New Roman" w:cs="Times New Roman"/>
          <w:color w:val="262626"/>
          <w:sz w:val="24"/>
          <w:szCs w:val="24"/>
        </w:rPr>
        <w:t xml:space="preserve"> politikas, kā arī ārējo normatīvo aktu prasībām tiek izvērtēta vismaz reizi gadā, veicot  iekšējos auditus, kā arī pēc jaunu saistošo normatīvo aktu stāšanās spēkā un, noslēdzot līgumus par enerģijas  piegādi vai precēm un pakalpojumiem, kas ietekmē būtisku enerģijas patēriņu. </w:t>
      </w:r>
    </w:p>
    <w:p w14:paraId="76EFC99A" w14:textId="71804BE2" w:rsidR="009C5038" w:rsidRPr="009C5038" w:rsidRDefault="009C5038" w:rsidP="009C5038">
      <w:pPr>
        <w:pStyle w:val="Sarakstarindkopa"/>
        <w:widowControl w:val="0"/>
        <w:numPr>
          <w:ilvl w:val="1"/>
          <w:numId w:val="4"/>
        </w:numPr>
        <w:pBdr>
          <w:top w:val="nil"/>
          <w:left w:val="nil"/>
          <w:bottom w:val="nil"/>
          <w:right w:val="nil"/>
          <w:between w:val="nil"/>
        </w:pBdr>
        <w:spacing w:before="128" w:line="241" w:lineRule="auto"/>
        <w:rPr>
          <w:rFonts w:ascii="Times New Roman" w:eastAsia="Times New Roman" w:hAnsi="Times New Roman" w:cs="Times New Roman"/>
          <w:color w:val="262626"/>
          <w:sz w:val="24"/>
          <w:szCs w:val="24"/>
        </w:rPr>
      </w:pPr>
      <w:r w:rsidRPr="009C5038">
        <w:rPr>
          <w:rFonts w:ascii="Times New Roman" w:eastAsia="Times New Roman" w:hAnsi="Times New Roman" w:cs="Times New Roman"/>
          <w:color w:val="262626"/>
          <w:sz w:val="24"/>
          <w:szCs w:val="24"/>
        </w:rPr>
        <w:t xml:space="preserve">LVĢMC veic </w:t>
      </w:r>
      <w:proofErr w:type="spellStart"/>
      <w:r w:rsidRPr="009C5038">
        <w:rPr>
          <w:rFonts w:ascii="Times New Roman" w:eastAsia="Times New Roman" w:hAnsi="Times New Roman" w:cs="Times New Roman"/>
          <w:color w:val="262626"/>
          <w:sz w:val="24"/>
          <w:szCs w:val="24"/>
        </w:rPr>
        <w:t>energopārvaldības</w:t>
      </w:r>
      <w:proofErr w:type="spellEnd"/>
      <w:r w:rsidRPr="009C5038">
        <w:rPr>
          <w:rFonts w:ascii="Times New Roman" w:eastAsia="Times New Roman" w:hAnsi="Times New Roman" w:cs="Times New Roman"/>
          <w:color w:val="262626"/>
          <w:sz w:val="24"/>
          <w:szCs w:val="24"/>
        </w:rPr>
        <w:t xml:space="preserve"> sistēmas darbības pārskatīšanu un uzlabojumu plānošanu vismaz reizi  gadā, sekojot iekšējā audita un plānošanas ciklam.</w:t>
      </w:r>
    </w:p>
    <w:p w14:paraId="0EE47A05" w14:textId="77777777" w:rsidR="009C5038" w:rsidRDefault="009C5038" w:rsidP="009C5038">
      <w:pPr>
        <w:pStyle w:val="Sarakstarindkopa"/>
        <w:spacing w:before="240" w:after="120"/>
        <w:ind w:left="360"/>
        <w:jc w:val="both"/>
        <w:rPr>
          <w:rFonts w:asciiTheme="majorBidi" w:eastAsia="Times New Roman" w:hAnsiTheme="majorBidi" w:cs="Times New Roman"/>
          <w:sz w:val="24"/>
          <w:szCs w:val="24"/>
        </w:rPr>
      </w:pPr>
    </w:p>
    <w:p w14:paraId="58C962C2" w14:textId="77777777" w:rsidR="00E52DF8" w:rsidRPr="001F7C5D" w:rsidRDefault="00E52DF8" w:rsidP="0048381F">
      <w:pPr>
        <w:spacing w:before="240" w:after="120"/>
        <w:jc w:val="both"/>
      </w:pPr>
    </w:p>
    <w:sectPr w:rsidR="00E52DF8" w:rsidRPr="001F7C5D" w:rsidSect="00451F6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FA42D" w14:textId="77777777" w:rsidR="0030322E" w:rsidRDefault="0030322E" w:rsidP="001F7C5D">
      <w:pPr>
        <w:spacing w:after="0" w:line="240" w:lineRule="auto"/>
      </w:pPr>
      <w:r>
        <w:separator/>
      </w:r>
    </w:p>
  </w:endnote>
  <w:endnote w:type="continuationSeparator" w:id="0">
    <w:p w14:paraId="377FAE7C" w14:textId="77777777" w:rsidR="0030322E" w:rsidRDefault="0030322E" w:rsidP="001F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B0D2" w14:textId="77777777" w:rsidR="0030322E" w:rsidRDefault="0030322E" w:rsidP="001F7C5D">
      <w:pPr>
        <w:spacing w:after="0" w:line="240" w:lineRule="auto"/>
      </w:pPr>
      <w:r>
        <w:separator/>
      </w:r>
    </w:p>
  </w:footnote>
  <w:footnote w:type="continuationSeparator" w:id="0">
    <w:p w14:paraId="62C35B42" w14:textId="77777777" w:rsidR="0030322E" w:rsidRDefault="0030322E" w:rsidP="001F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76"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1"/>
      <w:gridCol w:w="3544"/>
      <w:gridCol w:w="1216"/>
      <w:gridCol w:w="1216"/>
      <w:gridCol w:w="2025"/>
    </w:tblGrid>
    <w:tr w:rsidR="001F7C5D" w:rsidRPr="002F4330" w14:paraId="23DA502B" w14:textId="77777777" w:rsidTr="00451F68">
      <w:trPr>
        <w:cantSplit/>
        <w:trHeight w:val="327"/>
      </w:trPr>
      <w:tc>
        <w:tcPr>
          <w:tcW w:w="768" w:type="pct"/>
          <w:vMerge w:val="restart"/>
          <w:tcBorders>
            <w:top w:val="single" w:sz="4" w:space="0" w:color="auto"/>
            <w:right w:val="single" w:sz="4" w:space="0" w:color="auto"/>
          </w:tcBorders>
        </w:tcPr>
        <w:p w14:paraId="13872432" w14:textId="77777777" w:rsidR="001F7C5D" w:rsidRPr="002F4330" w:rsidRDefault="001F7C5D" w:rsidP="001F7C5D">
          <w:pPr>
            <w:spacing w:after="60"/>
            <w:rPr>
              <w:rFonts w:ascii="Times New Roman" w:hAnsi="Times New Roman"/>
              <w:color w:val="000080"/>
              <w:sz w:val="20"/>
              <w:szCs w:val="20"/>
            </w:rPr>
          </w:pPr>
          <w:bookmarkStart w:id="0" w:name="_Hlk66459342"/>
          <w:r w:rsidRPr="002F4330">
            <w:rPr>
              <w:rFonts w:ascii="Times New Roman" w:hAnsi="Times New Roman"/>
              <w:noProof/>
              <w:color w:val="000080"/>
              <w:sz w:val="20"/>
              <w:szCs w:val="20"/>
              <w:lang w:val="en-US"/>
            </w:rPr>
            <w:drawing>
              <wp:inline distT="0" distB="0" distL="0" distR="0" wp14:anchorId="215BB40C" wp14:editId="5617028E">
                <wp:extent cx="831537" cy="8382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421" cy="842115"/>
                        </a:xfrm>
                        <a:prstGeom prst="rect">
                          <a:avLst/>
                        </a:prstGeom>
                        <a:noFill/>
                      </pic:spPr>
                    </pic:pic>
                  </a:graphicData>
                </a:graphic>
              </wp:inline>
            </w:drawing>
          </w:r>
        </w:p>
      </w:tc>
      <w:tc>
        <w:tcPr>
          <w:tcW w:w="3161" w:type="pct"/>
          <w:gridSpan w:val="3"/>
          <w:vMerge w:val="restart"/>
          <w:tcBorders>
            <w:top w:val="single" w:sz="4" w:space="0" w:color="auto"/>
            <w:left w:val="single" w:sz="4" w:space="0" w:color="auto"/>
          </w:tcBorders>
        </w:tcPr>
        <w:p w14:paraId="4284432B" w14:textId="77777777" w:rsidR="001F7C5D" w:rsidRDefault="001F7C5D" w:rsidP="001F7C5D">
          <w:pPr>
            <w:pStyle w:val="Galvene"/>
            <w:rPr>
              <w:rFonts w:ascii="Times New Roman" w:hAnsi="Times New Roman"/>
              <w:sz w:val="20"/>
              <w:szCs w:val="20"/>
            </w:rPr>
          </w:pPr>
        </w:p>
        <w:p w14:paraId="2961A840" w14:textId="77777777" w:rsidR="001F7C5D" w:rsidRDefault="001F7C5D" w:rsidP="00C57847">
          <w:pPr>
            <w:pStyle w:val="Galvene"/>
            <w:jc w:val="center"/>
            <w:rPr>
              <w:rFonts w:ascii="Times New Roman" w:hAnsi="Times New Roman"/>
              <w:b/>
              <w:sz w:val="28"/>
              <w:szCs w:val="28"/>
            </w:rPr>
          </w:pPr>
          <w:r>
            <w:rPr>
              <w:rFonts w:ascii="Times New Roman" w:hAnsi="Times New Roman"/>
              <w:b/>
              <w:sz w:val="28"/>
              <w:szCs w:val="28"/>
            </w:rPr>
            <w:t>VISA “Latvijas Vides, ģeoloģijas un</w:t>
          </w:r>
        </w:p>
        <w:p w14:paraId="2280611D" w14:textId="77777777" w:rsidR="001F7C5D" w:rsidRDefault="001F7C5D" w:rsidP="001F7C5D">
          <w:pPr>
            <w:pStyle w:val="Galvene"/>
            <w:jc w:val="center"/>
            <w:rPr>
              <w:rFonts w:ascii="Times New Roman" w:hAnsi="Times New Roman"/>
              <w:b/>
              <w:sz w:val="28"/>
              <w:szCs w:val="28"/>
            </w:rPr>
          </w:pPr>
          <w:r>
            <w:rPr>
              <w:rFonts w:ascii="Times New Roman" w:hAnsi="Times New Roman"/>
              <w:b/>
              <w:sz w:val="28"/>
              <w:szCs w:val="28"/>
            </w:rPr>
            <w:t xml:space="preserve"> meteoroloģijas centrs”</w:t>
          </w:r>
        </w:p>
        <w:p w14:paraId="321A626A" w14:textId="6EDAED91" w:rsidR="001F7C5D" w:rsidRPr="003623BB" w:rsidRDefault="00837EBD" w:rsidP="001F7C5D">
          <w:pPr>
            <w:pStyle w:val="Galvene"/>
            <w:jc w:val="center"/>
            <w:rPr>
              <w:rFonts w:ascii="Times New Roman" w:hAnsi="Times New Roman"/>
              <w:b/>
            </w:rPr>
          </w:pPr>
          <w:proofErr w:type="spellStart"/>
          <w:r w:rsidRPr="00837EBD">
            <w:rPr>
              <w:rFonts w:ascii="Times New Roman" w:hAnsi="Times New Roman"/>
              <w:b/>
              <w:sz w:val="28"/>
              <w:szCs w:val="28"/>
            </w:rPr>
            <w:t>energopārvaldības</w:t>
          </w:r>
          <w:proofErr w:type="spellEnd"/>
          <w:r w:rsidRPr="00837EBD">
            <w:rPr>
              <w:rFonts w:ascii="Times New Roman" w:hAnsi="Times New Roman"/>
              <w:b/>
              <w:sz w:val="28"/>
              <w:szCs w:val="28"/>
            </w:rPr>
            <w:t xml:space="preserve"> politika </w:t>
          </w:r>
          <w:r w:rsidRPr="00785F1A">
            <w:rPr>
              <w:rFonts w:ascii="Times New Roman" w:hAnsi="Times New Roman"/>
              <w:b/>
              <w:sz w:val="28"/>
              <w:szCs w:val="28"/>
            </w:rPr>
            <w:t xml:space="preserve"> </w:t>
          </w:r>
        </w:p>
      </w:tc>
      <w:tc>
        <w:tcPr>
          <w:tcW w:w="1072" w:type="pct"/>
          <w:tcBorders>
            <w:top w:val="single" w:sz="4" w:space="0" w:color="auto"/>
            <w:left w:val="single" w:sz="4" w:space="0" w:color="auto"/>
            <w:bottom w:val="single" w:sz="4" w:space="0" w:color="auto"/>
          </w:tcBorders>
        </w:tcPr>
        <w:p w14:paraId="393E3DEC" w14:textId="77777777" w:rsidR="001F7C5D" w:rsidRPr="002F4330" w:rsidRDefault="001F7C5D" w:rsidP="001F7C5D">
          <w:pPr>
            <w:pStyle w:val="Galvene"/>
            <w:rPr>
              <w:rFonts w:ascii="Times New Roman" w:hAnsi="Times New Roman"/>
              <w:sz w:val="20"/>
              <w:szCs w:val="20"/>
            </w:rPr>
          </w:pPr>
          <w:r w:rsidRPr="002F4330">
            <w:rPr>
              <w:rFonts w:ascii="Times New Roman" w:hAnsi="Times New Roman"/>
              <w:sz w:val="20"/>
              <w:szCs w:val="20"/>
            </w:rPr>
            <w:t xml:space="preserve">Lapa </w:t>
          </w:r>
          <w:r w:rsidRPr="002F4330">
            <w:rPr>
              <w:rStyle w:val="Lappusesnumurs"/>
              <w:rFonts w:ascii="Times New Roman" w:hAnsi="Times New Roman"/>
              <w:sz w:val="20"/>
              <w:szCs w:val="20"/>
            </w:rPr>
            <w:fldChar w:fldCharType="begin"/>
          </w:r>
          <w:r w:rsidRPr="002F4330">
            <w:rPr>
              <w:rStyle w:val="Lappusesnumurs"/>
              <w:rFonts w:ascii="Times New Roman" w:hAnsi="Times New Roman"/>
              <w:sz w:val="20"/>
              <w:szCs w:val="20"/>
            </w:rPr>
            <w:instrText xml:space="preserve"> PAGE </w:instrText>
          </w:r>
          <w:r w:rsidRPr="002F4330">
            <w:rPr>
              <w:rStyle w:val="Lappusesnumurs"/>
              <w:rFonts w:ascii="Times New Roman" w:hAnsi="Times New Roman"/>
              <w:sz w:val="20"/>
              <w:szCs w:val="20"/>
            </w:rPr>
            <w:fldChar w:fldCharType="separate"/>
          </w:r>
          <w:r>
            <w:rPr>
              <w:rStyle w:val="Lappusesnumurs"/>
              <w:rFonts w:ascii="Times New Roman" w:hAnsi="Times New Roman"/>
              <w:noProof/>
              <w:sz w:val="20"/>
              <w:szCs w:val="20"/>
            </w:rPr>
            <w:t>1</w:t>
          </w:r>
          <w:r w:rsidRPr="002F4330">
            <w:rPr>
              <w:rStyle w:val="Lappusesnumurs"/>
              <w:rFonts w:ascii="Times New Roman" w:hAnsi="Times New Roman"/>
              <w:sz w:val="20"/>
              <w:szCs w:val="20"/>
            </w:rPr>
            <w:fldChar w:fldCharType="end"/>
          </w:r>
          <w:r w:rsidRPr="002F4330">
            <w:rPr>
              <w:rStyle w:val="Lappusesnumurs"/>
              <w:rFonts w:ascii="Times New Roman" w:hAnsi="Times New Roman"/>
              <w:sz w:val="20"/>
              <w:szCs w:val="20"/>
            </w:rPr>
            <w:t xml:space="preserve"> (</w:t>
          </w:r>
          <w:r w:rsidRPr="002F4330">
            <w:rPr>
              <w:rStyle w:val="Lappusesnumurs"/>
              <w:rFonts w:ascii="Times New Roman" w:hAnsi="Times New Roman"/>
              <w:sz w:val="20"/>
              <w:szCs w:val="20"/>
            </w:rPr>
            <w:fldChar w:fldCharType="begin"/>
          </w:r>
          <w:r w:rsidRPr="002F4330">
            <w:rPr>
              <w:rStyle w:val="Lappusesnumurs"/>
              <w:rFonts w:ascii="Times New Roman" w:hAnsi="Times New Roman"/>
              <w:sz w:val="20"/>
              <w:szCs w:val="20"/>
            </w:rPr>
            <w:instrText xml:space="preserve"> NUMPAGES </w:instrText>
          </w:r>
          <w:r w:rsidRPr="002F4330">
            <w:rPr>
              <w:rStyle w:val="Lappusesnumurs"/>
              <w:rFonts w:ascii="Times New Roman" w:hAnsi="Times New Roman"/>
              <w:sz w:val="20"/>
              <w:szCs w:val="20"/>
            </w:rPr>
            <w:fldChar w:fldCharType="separate"/>
          </w:r>
          <w:r>
            <w:rPr>
              <w:rStyle w:val="Lappusesnumurs"/>
              <w:rFonts w:ascii="Times New Roman" w:hAnsi="Times New Roman"/>
              <w:noProof/>
              <w:sz w:val="20"/>
              <w:szCs w:val="20"/>
            </w:rPr>
            <w:t>6</w:t>
          </w:r>
          <w:r w:rsidRPr="002F4330">
            <w:rPr>
              <w:rStyle w:val="Lappusesnumurs"/>
              <w:rFonts w:ascii="Times New Roman" w:hAnsi="Times New Roman"/>
              <w:sz w:val="20"/>
              <w:szCs w:val="20"/>
            </w:rPr>
            <w:fldChar w:fldCharType="end"/>
          </w:r>
          <w:r w:rsidRPr="002F4330">
            <w:rPr>
              <w:rStyle w:val="Lappusesnumurs"/>
              <w:rFonts w:ascii="Times New Roman" w:hAnsi="Times New Roman"/>
              <w:sz w:val="20"/>
              <w:szCs w:val="20"/>
            </w:rPr>
            <w:t>)</w:t>
          </w:r>
        </w:p>
      </w:tc>
    </w:tr>
    <w:tr w:rsidR="001F7C5D" w:rsidRPr="002F4330" w14:paraId="74E21495" w14:textId="77777777" w:rsidTr="00451F68">
      <w:trPr>
        <w:cantSplit/>
        <w:trHeight w:val="610"/>
      </w:trPr>
      <w:tc>
        <w:tcPr>
          <w:tcW w:w="768" w:type="pct"/>
          <w:vMerge/>
          <w:tcBorders>
            <w:right w:val="single" w:sz="4" w:space="0" w:color="auto"/>
          </w:tcBorders>
        </w:tcPr>
        <w:p w14:paraId="09423566" w14:textId="77777777" w:rsidR="001F7C5D" w:rsidRPr="002F4330" w:rsidRDefault="001F7C5D" w:rsidP="001F7C5D">
          <w:pPr>
            <w:pStyle w:val="Galvene"/>
            <w:rPr>
              <w:rFonts w:ascii="Times New Roman" w:hAnsi="Times New Roman"/>
              <w:sz w:val="20"/>
              <w:szCs w:val="20"/>
            </w:rPr>
          </w:pPr>
        </w:p>
      </w:tc>
      <w:tc>
        <w:tcPr>
          <w:tcW w:w="3161" w:type="pct"/>
          <w:gridSpan w:val="3"/>
          <w:vMerge/>
          <w:tcBorders>
            <w:left w:val="single" w:sz="4" w:space="0" w:color="auto"/>
          </w:tcBorders>
        </w:tcPr>
        <w:p w14:paraId="4C07513C" w14:textId="77777777" w:rsidR="001F7C5D" w:rsidRPr="002F4330" w:rsidRDefault="001F7C5D" w:rsidP="001F7C5D">
          <w:pPr>
            <w:pStyle w:val="Galvene"/>
            <w:rPr>
              <w:rFonts w:ascii="Times New Roman" w:hAnsi="Times New Roman"/>
              <w:sz w:val="20"/>
              <w:szCs w:val="20"/>
            </w:rPr>
          </w:pPr>
        </w:p>
      </w:tc>
      <w:tc>
        <w:tcPr>
          <w:tcW w:w="1072" w:type="pct"/>
          <w:tcBorders>
            <w:top w:val="single" w:sz="4" w:space="0" w:color="auto"/>
            <w:left w:val="single" w:sz="4" w:space="0" w:color="auto"/>
            <w:bottom w:val="single" w:sz="4" w:space="0" w:color="auto"/>
          </w:tcBorders>
        </w:tcPr>
        <w:p w14:paraId="4FC45A11" w14:textId="77777777" w:rsidR="001F7C5D" w:rsidRPr="002F4330" w:rsidRDefault="001F7C5D" w:rsidP="001F7C5D">
          <w:pPr>
            <w:pStyle w:val="Galvene"/>
            <w:rPr>
              <w:rFonts w:ascii="Times New Roman" w:hAnsi="Times New Roman"/>
              <w:sz w:val="20"/>
              <w:szCs w:val="20"/>
            </w:rPr>
          </w:pPr>
          <w:r w:rsidRPr="002F4330">
            <w:rPr>
              <w:rFonts w:ascii="Times New Roman" w:hAnsi="Times New Roman"/>
              <w:sz w:val="20"/>
              <w:szCs w:val="20"/>
            </w:rPr>
            <w:t xml:space="preserve">Numurs: </w:t>
          </w:r>
        </w:p>
        <w:p w14:paraId="3AC00DE6" w14:textId="4A32982B" w:rsidR="001F7C5D" w:rsidRPr="002F4330" w:rsidRDefault="001F7C5D" w:rsidP="001F7C5D">
          <w:pPr>
            <w:pStyle w:val="Galvene"/>
            <w:rPr>
              <w:rFonts w:ascii="Times New Roman" w:hAnsi="Times New Roman"/>
              <w:sz w:val="20"/>
              <w:szCs w:val="20"/>
            </w:rPr>
          </w:pPr>
          <w:r w:rsidRPr="00A61888">
            <w:rPr>
              <w:rFonts w:ascii="Times New Roman" w:hAnsi="Times New Roman"/>
              <w:sz w:val="20"/>
              <w:szCs w:val="20"/>
            </w:rPr>
            <w:t>LVĢMC.M1.POL.</w:t>
          </w:r>
          <w:r w:rsidR="00421F37">
            <w:rPr>
              <w:rFonts w:ascii="Times New Roman" w:hAnsi="Times New Roman"/>
              <w:sz w:val="20"/>
              <w:szCs w:val="20"/>
            </w:rPr>
            <w:t>09</w:t>
          </w:r>
          <w:r w:rsidRPr="00A61888">
            <w:rPr>
              <w:rFonts w:ascii="Times New Roman" w:hAnsi="Times New Roman"/>
              <w:sz w:val="20"/>
              <w:szCs w:val="20"/>
            </w:rPr>
            <w:t>.</w:t>
          </w:r>
          <w:r w:rsidRPr="00A61888">
            <w:rPr>
              <w:rFonts w:ascii="Times New Roman" w:hAnsi="Times New Roman"/>
              <w:color w:val="000000" w:themeColor="text1"/>
              <w:sz w:val="20"/>
              <w:szCs w:val="20"/>
            </w:rPr>
            <w:t>v.</w:t>
          </w:r>
          <w:r w:rsidRPr="00A61888">
            <w:rPr>
              <w:rFonts w:ascii="Times New Roman" w:hAnsi="Times New Roman"/>
              <w:sz w:val="20"/>
              <w:szCs w:val="20"/>
            </w:rPr>
            <w:t>0</w:t>
          </w:r>
          <w:r w:rsidR="00837EBD">
            <w:rPr>
              <w:rFonts w:ascii="Times New Roman" w:hAnsi="Times New Roman"/>
              <w:sz w:val="20"/>
              <w:szCs w:val="20"/>
            </w:rPr>
            <w:t>2</w:t>
          </w:r>
          <w:r w:rsidRPr="00A61888">
            <w:rPr>
              <w:rFonts w:ascii="Times New Roman" w:hAnsi="Times New Roman"/>
              <w:sz w:val="20"/>
              <w:szCs w:val="20"/>
            </w:rPr>
            <w:t>_202</w:t>
          </w:r>
          <w:r w:rsidR="00B32E43">
            <w:rPr>
              <w:rFonts w:ascii="Times New Roman" w:hAnsi="Times New Roman"/>
              <w:sz w:val="20"/>
              <w:szCs w:val="20"/>
            </w:rPr>
            <w:t>3</w:t>
          </w:r>
        </w:p>
      </w:tc>
    </w:tr>
    <w:tr w:rsidR="001F7C5D" w:rsidRPr="002F4330" w14:paraId="582CAC1E" w14:textId="77777777" w:rsidTr="00451F68">
      <w:trPr>
        <w:cantSplit/>
        <w:trHeight w:val="55"/>
      </w:trPr>
      <w:tc>
        <w:tcPr>
          <w:tcW w:w="768" w:type="pct"/>
          <w:vMerge/>
          <w:tcBorders>
            <w:bottom w:val="single" w:sz="4" w:space="0" w:color="auto"/>
            <w:right w:val="single" w:sz="4" w:space="0" w:color="auto"/>
          </w:tcBorders>
        </w:tcPr>
        <w:p w14:paraId="203C84C7" w14:textId="77777777" w:rsidR="001F7C5D" w:rsidRPr="002F4330" w:rsidRDefault="001F7C5D" w:rsidP="001F7C5D">
          <w:pPr>
            <w:pStyle w:val="Galvene"/>
            <w:rPr>
              <w:rFonts w:ascii="Times New Roman" w:hAnsi="Times New Roman"/>
              <w:sz w:val="20"/>
              <w:szCs w:val="20"/>
            </w:rPr>
          </w:pPr>
        </w:p>
      </w:tc>
      <w:tc>
        <w:tcPr>
          <w:tcW w:w="3161" w:type="pct"/>
          <w:gridSpan w:val="3"/>
          <w:vMerge/>
          <w:tcBorders>
            <w:left w:val="single" w:sz="4" w:space="0" w:color="auto"/>
            <w:bottom w:val="single" w:sz="4" w:space="0" w:color="auto"/>
          </w:tcBorders>
        </w:tcPr>
        <w:p w14:paraId="4CBE8874" w14:textId="77777777" w:rsidR="001F7C5D" w:rsidRPr="002F4330" w:rsidRDefault="001F7C5D" w:rsidP="001F7C5D">
          <w:pPr>
            <w:pStyle w:val="Galvene"/>
            <w:rPr>
              <w:rFonts w:ascii="Times New Roman" w:hAnsi="Times New Roman"/>
              <w:sz w:val="20"/>
              <w:szCs w:val="20"/>
            </w:rPr>
          </w:pPr>
        </w:p>
      </w:tc>
      <w:tc>
        <w:tcPr>
          <w:tcW w:w="1072" w:type="pct"/>
          <w:tcBorders>
            <w:top w:val="single" w:sz="4" w:space="0" w:color="auto"/>
            <w:left w:val="single" w:sz="4" w:space="0" w:color="auto"/>
            <w:bottom w:val="single" w:sz="4" w:space="0" w:color="auto"/>
          </w:tcBorders>
        </w:tcPr>
        <w:p w14:paraId="4485B2E4" w14:textId="301F3AA7" w:rsidR="001F7C5D" w:rsidRPr="002F4330" w:rsidRDefault="001F7C5D" w:rsidP="001F7C5D">
          <w:pPr>
            <w:pStyle w:val="Galvene"/>
            <w:rPr>
              <w:rFonts w:ascii="Times New Roman" w:hAnsi="Times New Roman"/>
              <w:sz w:val="20"/>
              <w:szCs w:val="20"/>
            </w:rPr>
          </w:pPr>
          <w:r w:rsidRPr="00FB42F9">
            <w:rPr>
              <w:rFonts w:ascii="Times New Roman" w:hAnsi="Times New Roman"/>
              <w:sz w:val="20"/>
              <w:szCs w:val="20"/>
            </w:rPr>
            <w:t>Versija Nr. 0</w:t>
          </w:r>
          <w:r w:rsidR="00837EBD">
            <w:rPr>
              <w:rFonts w:ascii="Times New Roman" w:hAnsi="Times New Roman"/>
              <w:sz w:val="20"/>
              <w:szCs w:val="20"/>
            </w:rPr>
            <w:t>2</w:t>
          </w:r>
        </w:p>
      </w:tc>
    </w:tr>
    <w:tr w:rsidR="001F7C5D" w:rsidRPr="002F4330" w14:paraId="09912C43" w14:textId="77777777" w:rsidTr="00451F68">
      <w:trPr>
        <w:cantSplit/>
        <w:trHeight w:val="817"/>
      </w:trPr>
      <w:tc>
        <w:tcPr>
          <w:tcW w:w="2643" w:type="pct"/>
          <w:gridSpan w:val="2"/>
          <w:tcBorders>
            <w:top w:val="single" w:sz="4" w:space="0" w:color="auto"/>
            <w:left w:val="single" w:sz="4" w:space="0" w:color="auto"/>
            <w:bottom w:val="single" w:sz="4" w:space="0" w:color="auto"/>
            <w:right w:val="single" w:sz="4" w:space="0" w:color="auto"/>
          </w:tcBorders>
        </w:tcPr>
        <w:p w14:paraId="1118DFDB" w14:textId="450023EE" w:rsidR="001F7C5D" w:rsidRPr="002F4330" w:rsidRDefault="001F7C5D" w:rsidP="001F7C5D">
          <w:pPr>
            <w:pStyle w:val="Galvene"/>
            <w:rPr>
              <w:rFonts w:ascii="Times New Roman" w:hAnsi="Times New Roman"/>
              <w:sz w:val="20"/>
              <w:szCs w:val="20"/>
            </w:rPr>
          </w:pPr>
          <w:bookmarkStart w:id="1" w:name="AcceptDocInfo"/>
          <w:r>
            <w:rPr>
              <w:rFonts w:ascii="Times New Roman" w:hAnsi="Times New Roman"/>
              <w:sz w:val="20"/>
              <w:szCs w:val="20"/>
            </w:rPr>
            <w:t>Apstiprināts</w:t>
          </w:r>
          <w:bookmarkEnd w:id="1"/>
          <w:r w:rsidR="008F7D07">
            <w:rPr>
              <w:rFonts w:ascii="Times New Roman" w:hAnsi="Times New Roman"/>
              <w:sz w:val="20"/>
              <w:szCs w:val="20"/>
            </w:rPr>
            <w:t xml:space="preserve"> </w:t>
          </w:r>
          <w:r w:rsidR="008F7D07">
            <w:rPr>
              <w:rFonts w:ascii="Times New Roman" w:eastAsia="Times New Roman" w:hAnsi="Times New Roman" w:cs="Times New Roman"/>
              <w:color w:val="000000"/>
              <w:sz w:val="20"/>
              <w:szCs w:val="20"/>
            </w:rPr>
            <w:t>ar 2023. gada 13. septembra valdes lēmumu Nr.4 (prot.Nr.34/2023., 4.p.)</w:t>
          </w:r>
        </w:p>
      </w:tc>
      <w:tc>
        <w:tcPr>
          <w:tcW w:w="643" w:type="pct"/>
          <w:tcBorders>
            <w:top w:val="single" w:sz="4" w:space="0" w:color="auto"/>
            <w:left w:val="single" w:sz="4" w:space="0" w:color="auto"/>
            <w:bottom w:val="single" w:sz="4" w:space="0" w:color="auto"/>
            <w:right w:val="single" w:sz="4" w:space="0" w:color="auto"/>
          </w:tcBorders>
        </w:tcPr>
        <w:p w14:paraId="0250960D" w14:textId="77777777" w:rsidR="001F7C5D" w:rsidRPr="002F4330" w:rsidRDefault="001F7C5D" w:rsidP="001F7C5D">
          <w:pPr>
            <w:pStyle w:val="Galvene"/>
            <w:rPr>
              <w:rFonts w:ascii="Times New Roman" w:hAnsi="Times New Roman"/>
              <w:sz w:val="20"/>
              <w:szCs w:val="20"/>
            </w:rPr>
          </w:pPr>
          <w:r w:rsidRPr="002F4330">
            <w:rPr>
              <w:rFonts w:ascii="Times New Roman" w:hAnsi="Times New Roman"/>
              <w:sz w:val="20"/>
              <w:szCs w:val="20"/>
            </w:rPr>
            <w:t>Dokuments spēkā no:</w:t>
          </w:r>
        </w:p>
        <w:p w14:paraId="68991AC1" w14:textId="1243A959" w:rsidR="001F7C5D" w:rsidRPr="002F4330" w:rsidRDefault="00837EBD" w:rsidP="001F7C5D">
          <w:pPr>
            <w:pStyle w:val="Galvene"/>
            <w:rPr>
              <w:rFonts w:ascii="Times New Roman" w:hAnsi="Times New Roman"/>
              <w:sz w:val="20"/>
              <w:szCs w:val="20"/>
            </w:rPr>
          </w:pPr>
          <w:r>
            <w:rPr>
              <w:rFonts w:ascii="Times New Roman" w:hAnsi="Times New Roman"/>
              <w:sz w:val="20"/>
              <w:szCs w:val="20"/>
            </w:rPr>
            <w:t>10</w:t>
          </w:r>
          <w:r w:rsidR="001F7C5D">
            <w:rPr>
              <w:rFonts w:ascii="Times New Roman" w:hAnsi="Times New Roman"/>
              <w:sz w:val="20"/>
              <w:szCs w:val="20"/>
            </w:rPr>
            <w:t>.0</w:t>
          </w:r>
          <w:r>
            <w:rPr>
              <w:rFonts w:ascii="Times New Roman" w:hAnsi="Times New Roman"/>
              <w:sz w:val="20"/>
              <w:szCs w:val="20"/>
            </w:rPr>
            <w:t>1</w:t>
          </w:r>
          <w:r w:rsidR="001F7C5D">
            <w:rPr>
              <w:rFonts w:ascii="Times New Roman" w:hAnsi="Times New Roman"/>
              <w:sz w:val="20"/>
              <w:szCs w:val="20"/>
            </w:rPr>
            <w:t>.2018.</w:t>
          </w:r>
        </w:p>
      </w:tc>
      <w:tc>
        <w:tcPr>
          <w:tcW w:w="642" w:type="pct"/>
          <w:tcBorders>
            <w:top w:val="single" w:sz="4" w:space="0" w:color="auto"/>
            <w:left w:val="single" w:sz="4" w:space="0" w:color="auto"/>
            <w:bottom w:val="single" w:sz="4" w:space="0" w:color="auto"/>
            <w:right w:val="single" w:sz="4" w:space="0" w:color="auto"/>
          </w:tcBorders>
        </w:tcPr>
        <w:p w14:paraId="54A45A7F" w14:textId="77777777" w:rsidR="001F7C5D" w:rsidRDefault="001F7C5D" w:rsidP="001F7C5D">
          <w:pPr>
            <w:pStyle w:val="Galvene"/>
            <w:rPr>
              <w:rFonts w:ascii="Times New Roman" w:hAnsi="Times New Roman"/>
              <w:sz w:val="20"/>
              <w:szCs w:val="20"/>
            </w:rPr>
          </w:pPr>
          <w:r w:rsidRPr="002F4330">
            <w:rPr>
              <w:rFonts w:ascii="Times New Roman" w:hAnsi="Times New Roman"/>
              <w:sz w:val="20"/>
              <w:szCs w:val="20"/>
            </w:rPr>
            <w:t>Redakcija spēkā no:</w:t>
          </w:r>
          <w:bookmarkStart w:id="2" w:name="DocVersStartDate"/>
          <w:r w:rsidRPr="002F4330">
            <w:rPr>
              <w:rFonts w:ascii="Times New Roman" w:hAnsi="Times New Roman"/>
              <w:sz w:val="20"/>
              <w:szCs w:val="20"/>
            </w:rPr>
            <w:t xml:space="preserve"> </w:t>
          </w:r>
          <w:bookmarkEnd w:id="2"/>
        </w:p>
        <w:p w14:paraId="403098B2" w14:textId="6D673FDA" w:rsidR="001F7C5D" w:rsidRPr="002F4330" w:rsidRDefault="00421F37" w:rsidP="001F7C5D">
          <w:pPr>
            <w:pStyle w:val="Galvene"/>
            <w:rPr>
              <w:rFonts w:ascii="Times New Roman" w:hAnsi="Times New Roman"/>
              <w:sz w:val="20"/>
              <w:szCs w:val="20"/>
            </w:rPr>
          </w:pPr>
          <w:r>
            <w:rPr>
              <w:rFonts w:ascii="Times New Roman" w:hAnsi="Times New Roman"/>
              <w:sz w:val="20"/>
              <w:szCs w:val="20"/>
            </w:rPr>
            <w:t>13.09.</w:t>
          </w:r>
          <w:r w:rsidR="00BA5CB5">
            <w:rPr>
              <w:rFonts w:ascii="Times New Roman" w:hAnsi="Times New Roman"/>
              <w:sz w:val="20"/>
              <w:szCs w:val="20"/>
            </w:rPr>
            <w:t>2023.</w:t>
          </w:r>
        </w:p>
      </w:tc>
      <w:tc>
        <w:tcPr>
          <w:tcW w:w="1072" w:type="pct"/>
          <w:tcBorders>
            <w:top w:val="single" w:sz="4" w:space="0" w:color="auto"/>
            <w:left w:val="single" w:sz="4" w:space="0" w:color="auto"/>
            <w:bottom w:val="single" w:sz="4" w:space="0" w:color="auto"/>
            <w:right w:val="single" w:sz="4" w:space="0" w:color="auto"/>
          </w:tcBorders>
        </w:tcPr>
        <w:p w14:paraId="235EC759" w14:textId="77777777" w:rsidR="001F7C5D" w:rsidRPr="002F4330" w:rsidRDefault="001F7C5D" w:rsidP="001F7C5D">
          <w:pPr>
            <w:pStyle w:val="Galvene"/>
            <w:spacing w:line="480" w:lineRule="auto"/>
            <w:rPr>
              <w:rFonts w:ascii="Times New Roman" w:hAnsi="Times New Roman"/>
              <w:sz w:val="20"/>
              <w:szCs w:val="20"/>
            </w:rPr>
          </w:pPr>
          <w:r w:rsidRPr="002F4330">
            <w:rPr>
              <w:rFonts w:ascii="Times New Roman" w:hAnsi="Times New Roman"/>
              <w:sz w:val="20"/>
              <w:szCs w:val="20"/>
            </w:rPr>
            <w:t>Spēkā līdz:</w:t>
          </w:r>
        </w:p>
        <w:p w14:paraId="06125D47" w14:textId="77777777" w:rsidR="001F7C5D" w:rsidRPr="002F4330" w:rsidRDefault="001F7C5D" w:rsidP="001F7C5D">
          <w:pPr>
            <w:pStyle w:val="Galvene"/>
            <w:jc w:val="center"/>
            <w:rPr>
              <w:rFonts w:ascii="Times New Roman" w:hAnsi="Times New Roman"/>
              <w:sz w:val="20"/>
              <w:szCs w:val="20"/>
            </w:rPr>
          </w:pPr>
          <w:bookmarkStart w:id="3" w:name="ControlDate_2"/>
          <w:r w:rsidRPr="002F4330">
            <w:rPr>
              <w:rFonts w:ascii="Times New Roman" w:hAnsi="Times New Roman"/>
              <w:sz w:val="20"/>
              <w:szCs w:val="20"/>
            </w:rPr>
            <w:t xml:space="preserve"> </w:t>
          </w:r>
          <w:bookmarkEnd w:id="3"/>
        </w:p>
      </w:tc>
    </w:tr>
    <w:bookmarkEnd w:id="0"/>
  </w:tbl>
  <w:p w14:paraId="648F82DD" w14:textId="77777777" w:rsidR="001F7C5D" w:rsidRDefault="001F7C5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3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1D5D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DF7AD8"/>
    <w:multiLevelType w:val="hybridMultilevel"/>
    <w:tmpl w:val="F16E8D88"/>
    <w:lvl w:ilvl="0" w:tplc="0426000F">
      <w:start w:val="1"/>
      <w:numFmt w:val="decimal"/>
      <w:lvlText w:val="%1."/>
      <w:lvlJc w:val="left"/>
      <w:pPr>
        <w:ind w:left="764" w:hanging="360"/>
      </w:pPr>
    </w:lvl>
    <w:lvl w:ilvl="1" w:tplc="04260019" w:tentative="1">
      <w:start w:val="1"/>
      <w:numFmt w:val="lowerLetter"/>
      <w:lvlText w:val="%2."/>
      <w:lvlJc w:val="left"/>
      <w:pPr>
        <w:ind w:left="1484" w:hanging="360"/>
      </w:pPr>
    </w:lvl>
    <w:lvl w:ilvl="2" w:tplc="0426001B" w:tentative="1">
      <w:start w:val="1"/>
      <w:numFmt w:val="lowerRoman"/>
      <w:lvlText w:val="%3."/>
      <w:lvlJc w:val="right"/>
      <w:pPr>
        <w:ind w:left="2204" w:hanging="180"/>
      </w:pPr>
    </w:lvl>
    <w:lvl w:ilvl="3" w:tplc="0426000F" w:tentative="1">
      <w:start w:val="1"/>
      <w:numFmt w:val="decimal"/>
      <w:lvlText w:val="%4."/>
      <w:lvlJc w:val="left"/>
      <w:pPr>
        <w:ind w:left="2924" w:hanging="360"/>
      </w:pPr>
    </w:lvl>
    <w:lvl w:ilvl="4" w:tplc="04260019" w:tentative="1">
      <w:start w:val="1"/>
      <w:numFmt w:val="lowerLetter"/>
      <w:lvlText w:val="%5."/>
      <w:lvlJc w:val="left"/>
      <w:pPr>
        <w:ind w:left="3644" w:hanging="360"/>
      </w:pPr>
    </w:lvl>
    <w:lvl w:ilvl="5" w:tplc="0426001B" w:tentative="1">
      <w:start w:val="1"/>
      <w:numFmt w:val="lowerRoman"/>
      <w:lvlText w:val="%6."/>
      <w:lvlJc w:val="right"/>
      <w:pPr>
        <w:ind w:left="4364" w:hanging="180"/>
      </w:pPr>
    </w:lvl>
    <w:lvl w:ilvl="6" w:tplc="0426000F" w:tentative="1">
      <w:start w:val="1"/>
      <w:numFmt w:val="decimal"/>
      <w:lvlText w:val="%7."/>
      <w:lvlJc w:val="left"/>
      <w:pPr>
        <w:ind w:left="5084" w:hanging="360"/>
      </w:pPr>
    </w:lvl>
    <w:lvl w:ilvl="7" w:tplc="04260019" w:tentative="1">
      <w:start w:val="1"/>
      <w:numFmt w:val="lowerLetter"/>
      <w:lvlText w:val="%8."/>
      <w:lvlJc w:val="left"/>
      <w:pPr>
        <w:ind w:left="5804" w:hanging="360"/>
      </w:pPr>
    </w:lvl>
    <w:lvl w:ilvl="8" w:tplc="0426001B" w:tentative="1">
      <w:start w:val="1"/>
      <w:numFmt w:val="lowerRoman"/>
      <w:lvlText w:val="%9."/>
      <w:lvlJc w:val="right"/>
      <w:pPr>
        <w:ind w:left="6524" w:hanging="180"/>
      </w:pPr>
    </w:lvl>
  </w:abstractNum>
  <w:abstractNum w:abstractNumId="3" w15:restartNumberingAfterBreak="0">
    <w:nsid w:val="32285A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9623E5"/>
    <w:multiLevelType w:val="hybridMultilevel"/>
    <w:tmpl w:val="7394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189"/>
    <w:multiLevelType w:val="hybridMultilevel"/>
    <w:tmpl w:val="A8A66622"/>
    <w:lvl w:ilvl="0" w:tplc="CB46C5A4">
      <w:start w:val="1"/>
      <w:numFmt w:val="decimal"/>
      <w:lvlText w:val="%1."/>
      <w:lvlJc w:val="left"/>
      <w:pPr>
        <w:ind w:left="404" w:hanging="360"/>
      </w:pPr>
      <w:rPr>
        <w:rFonts w:hint="default"/>
      </w:rPr>
    </w:lvl>
    <w:lvl w:ilvl="1" w:tplc="04260019" w:tentative="1">
      <w:start w:val="1"/>
      <w:numFmt w:val="lowerLetter"/>
      <w:lvlText w:val="%2."/>
      <w:lvlJc w:val="left"/>
      <w:pPr>
        <w:ind w:left="1124" w:hanging="360"/>
      </w:pPr>
    </w:lvl>
    <w:lvl w:ilvl="2" w:tplc="0426001B" w:tentative="1">
      <w:start w:val="1"/>
      <w:numFmt w:val="lowerRoman"/>
      <w:lvlText w:val="%3."/>
      <w:lvlJc w:val="right"/>
      <w:pPr>
        <w:ind w:left="1844" w:hanging="180"/>
      </w:pPr>
    </w:lvl>
    <w:lvl w:ilvl="3" w:tplc="0426000F" w:tentative="1">
      <w:start w:val="1"/>
      <w:numFmt w:val="decimal"/>
      <w:lvlText w:val="%4."/>
      <w:lvlJc w:val="left"/>
      <w:pPr>
        <w:ind w:left="2564" w:hanging="360"/>
      </w:pPr>
    </w:lvl>
    <w:lvl w:ilvl="4" w:tplc="04260019" w:tentative="1">
      <w:start w:val="1"/>
      <w:numFmt w:val="lowerLetter"/>
      <w:lvlText w:val="%5."/>
      <w:lvlJc w:val="left"/>
      <w:pPr>
        <w:ind w:left="3284" w:hanging="360"/>
      </w:pPr>
    </w:lvl>
    <w:lvl w:ilvl="5" w:tplc="0426001B" w:tentative="1">
      <w:start w:val="1"/>
      <w:numFmt w:val="lowerRoman"/>
      <w:lvlText w:val="%6."/>
      <w:lvlJc w:val="right"/>
      <w:pPr>
        <w:ind w:left="4004" w:hanging="180"/>
      </w:pPr>
    </w:lvl>
    <w:lvl w:ilvl="6" w:tplc="0426000F" w:tentative="1">
      <w:start w:val="1"/>
      <w:numFmt w:val="decimal"/>
      <w:lvlText w:val="%7."/>
      <w:lvlJc w:val="left"/>
      <w:pPr>
        <w:ind w:left="4724" w:hanging="360"/>
      </w:pPr>
    </w:lvl>
    <w:lvl w:ilvl="7" w:tplc="04260019" w:tentative="1">
      <w:start w:val="1"/>
      <w:numFmt w:val="lowerLetter"/>
      <w:lvlText w:val="%8."/>
      <w:lvlJc w:val="left"/>
      <w:pPr>
        <w:ind w:left="5444" w:hanging="360"/>
      </w:pPr>
    </w:lvl>
    <w:lvl w:ilvl="8" w:tplc="0426001B" w:tentative="1">
      <w:start w:val="1"/>
      <w:numFmt w:val="lowerRoman"/>
      <w:lvlText w:val="%9."/>
      <w:lvlJc w:val="right"/>
      <w:pPr>
        <w:ind w:left="6164" w:hanging="180"/>
      </w:pPr>
    </w:lvl>
  </w:abstractNum>
  <w:num w:numId="1" w16cid:durableId="971524432">
    <w:abstractNumId w:val="4"/>
  </w:num>
  <w:num w:numId="2" w16cid:durableId="1262370347">
    <w:abstractNumId w:val="3"/>
  </w:num>
  <w:num w:numId="3" w16cid:durableId="1590042792">
    <w:abstractNumId w:val="0"/>
  </w:num>
  <w:num w:numId="4" w16cid:durableId="977613073">
    <w:abstractNumId w:val="1"/>
  </w:num>
  <w:num w:numId="5" w16cid:durableId="1372807208">
    <w:abstractNumId w:val="2"/>
  </w:num>
  <w:num w:numId="6" w16cid:durableId="50004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5D"/>
    <w:rsid w:val="000326C9"/>
    <w:rsid w:val="00076072"/>
    <w:rsid w:val="00090484"/>
    <w:rsid w:val="001001E5"/>
    <w:rsid w:val="00124A77"/>
    <w:rsid w:val="001F7C5D"/>
    <w:rsid w:val="002008E0"/>
    <w:rsid w:val="002148F6"/>
    <w:rsid w:val="00244F19"/>
    <w:rsid w:val="00295811"/>
    <w:rsid w:val="002C0752"/>
    <w:rsid w:val="002C2408"/>
    <w:rsid w:val="002E1557"/>
    <w:rsid w:val="002F50CD"/>
    <w:rsid w:val="0030322E"/>
    <w:rsid w:val="00303B09"/>
    <w:rsid w:val="00311B45"/>
    <w:rsid w:val="00322A6F"/>
    <w:rsid w:val="00325633"/>
    <w:rsid w:val="003553A4"/>
    <w:rsid w:val="00376826"/>
    <w:rsid w:val="003852B4"/>
    <w:rsid w:val="003A39B8"/>
    <w:rsid w:val="003A5FBF"/>
    <w:rsid w:val="003A7846"/>
    <w:rsid w:val="003F3D71"/>
    <w:rsid w:val="00400D8B"/>
    <w:rsid w:val="00421F37"/>
    <w:rsid w:val="004517D3"/>
    <w:rsid w:val="0048381F"/>
    <w:rsid w:val="00490776"/>
    <w:rsid w:val="005B2DBB"/>
    <w:rsid w:val="00704871"/>
    <w:rsid w:val="0071328E"/>
    <w:rsid w:val="00737103"/>
    <w:rsid w:val="00750522"/>
    <w:rsid w:val="00782C8D"/>
    <w:rsid w:val="00793851"/>
    <w:rsid w:val="007C4792"/>
    <w:rsid w:val="007D083A"/>
    <w:rsid w:val="007E00E9"/>
    <w:rsid w:val="008172CA"/>
    <w:rsid w:val="0082290A"/>
    <w:rsid w:val="00837EBD"/>
    <w:rsid w:val="0084637C"/>
    <w:rsid w:val="008548CB"/>
    <w:rsid w:val="008D107C"/>
    <w:rsid w:val="008F5FA1"/>
    <w:rsid w:val="008F7D07"/>
    <w:rsid w:val="009A61F5"/>
    <w:rsid w:val="009A75AE"/>
    <w:rsid w:val="009B025D"/>
    <w:rsid w:val="009C5038"/>
    <w:rsid w:val="009E6B6D"/>
    <w:rsid w:val="009F1C8D"/>
    <w:rsid w:val="00A05E6D"/>
    <w:rsid w:val="00A176B2"/>
    <w:rsid w:val="00A50BFE"/>
    <w:rsid w:val="00A61888"/>
    <w:rsid w:val="00B2552C"/>
    <w:rsid w:val="00B32E43"/>
    <w:rsid w:val="00BA5CB5"/>
    <w:rsid w:val="00C207C4"/>
    <w:rsid w:val="00C57847"/>
    <w:rsid w:val="00C6390A"/>
    <w:rsid w:val="00CC5BCA"/>
    <w:rsid w:val="00CE4EC5"/>
    <w:rsid w:val="00CF0993"/>
    <w:rsid w:val="00CF140A"/>
    <w:rsid w:val="00D164A5"/>
    <w:rsid w:val="00D46D25"/>
    <w:rsid w:val="00D6252A"/>
    <w:rsid w:val="00D8045E"/>
    <w:rsid w:val="00DA5693"/>
    <w:rsid w:val="00DE01B0"/>
    <w:rsid w:val="00E52DF8"/>
    <w:rsid w:val="00E61E46"/>
    <w:rsid w:val="00ED76D9"/>
    <w:rsid w:val="00EE5133"/>
    <w:rsid w:val="00EF7BB1"/>
    <w:rsid w:val="00F01C74"/>
    <w:rsid w:val="00F44134"/>
    <w:rsid w:val="00F46F10"/>
    <w:rsid w:val="00F86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0494"/>
  <w15:chartTrackingRefBased/>
  <w15:docId w15:val="{8FD5CA62-093F-41E7-BE97-86C15C48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F7C5D"/>
    <w:pPr>
      <w:tabs>
        <w:tab w:val="center" w:pos="4320"/>
        <w:tab w:val="right" w:pos="8640"/>
      </w:tabs>
      <w:spacing w:after="0" w:line="240" w:lineRule="auto"/>
    </w:pPr>
  </w:style>
  <w:style w:type="character" w:customStyle="1" w:styleId="GalveneRakstz">
    <w:name w:val="Galvene Rakstz."/>
    <w:basedOn w:val="Noklusjumarindkopasfonts"/>
    <w:link w:val="Galvene"/>
    <w:rsid w:val="001F7C5D"/>
    <w:rPr>
      <w:lang w:val="lv-LV"/>
    </w:rPr>
  </w:style>
  <w:style w:type="paragraph" w:styleId="Kjene">
    <w:name w:val="footer"/>
    <w:basedOn w:val="Parasts"/>
    <w:link w:val="KjeneRakstz"/>
    <w:uiPriority w:val="99"/>
    <w:unhideWhenUsed/>
    <w:rsid w:val="001F7C5D"/>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F7C5D"/>
    <w:rPr>
      <w:lang w:val="lv-LV"/>
    </w:rPr>
  </w:style>
  <w:style w:type="character" w:styleId="Lappusesnumurs">
    <w:name w:val="page number"/>
    <w:basedOn w:val="Noklusjumarindkopasfonts"/>
    <w:rsid w:val="001F7C5D"/>
  </w:style>
  <w:style w:type="paragraph" w:styleId="Sarakstarindkopa">
    <w:name w:val="List Paragraph"/>
    <w:basedOn w:val="Parasts"/>
    <w:uiPriority w:val="34"/>
    <w:qFormat/>
    <w:rsid w:val="0048381F"/>
    <w:pPr>
      <w:ind w:left="720"/>
      <w:contextualSpacing/>
    </w:pPr>
  </w:style>
  <w:style w:type="paragraph" w:styleId="Prskatjums">
    <w:name w:val="Revision"/>
    <w:hidden/>
    <w:uiPriority w:val="99"/>
    <w:semiHidden/>
    <w:rsid w:val="00C207C4"/>
    <w:pPr>
      <w:spacing w:after="0" w:line="240" w:lineRule="auto"/>
    </w:pPr>
    <w:rPr>
      <w:lang w:val="lv-LV"/>
    </w:rPr>
  </w:style>
  <w:style w:type="character" w:styleId="Komentraatsauce">
    <w:name w:val="annotation reference"/>
    <w:basedOn w:val="Noklusjumarindkopasfonts"/>
    <w:uiPriority w:val="99"/>
    <w:semiHidden/>
    <w:unhideWhenUsed/>
    <w:rsid w:val="00C207C4"/>
    <w:rPr>
      <w:sz w:val="16"/>
      <w:szCs w:val="16"/>
    </w:rPr>
  </w:style>
  <w:style w:type="paragraph" w:styleId="Komentrateksts">
    <w:name w:val="annotation text"/>
    <w:basedOn w:val="Parasts"/>
    <w:link w:val="KomentratekstsRakstz"/>
    <w:uiPriority w:val="99"/>
    <w:unhideWhenUsed/>
    <w:rsid w:val="00C207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C4"/>
    <w:rPr>
      <w:sz w:val="20"/>
      <w:szCs w:val="20"/>
      <w:lang w:val="lv-LV"/>
    </w:rPr>
  </w:style>
  <w:style w:type="paragraph" w:styleId="Komentratma">
    <w:name w:val="annotation subject"/>
    <w:basedOn w:val="Komentrateksts"/>
    <w:next w:val="Komentrateksts"/>
    <w:link w:val="KomentratmaRakstz"/>
    <w:uiPriority w:val="99"/>
    <w:semiHidden/>
    <w:unhideWhenUsed/>
    <w:rsid w:val="00C207C4"/>
    <w:rPr>
      <w:b/>
      <w:bCs/>
    </w:rPr>
  </w:style>
  <w:style w:type="character" w:customStyle="1" w:styleId="KomentratmaRakstz">
    <w:name w:val="Komentāra tēma Rakstz."/>
    <w:basedOn w:val="KomentratekstsRakstz"/>
    <w:link w:val="Komentratma"/>
    <w:uiPriority w:val="99"/>
    <w:semiHidden/>
    <w:rsid w:val="00C207C4"/>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Purvina</dc:creator>
  <cp:keywords/>
  <dc:description/>
  <cp:lastModifiedBy>Sigita Muižniece</cp:lastModifiedBy>
  <cp:revision>2</cp:revision>
  <cp:lastPrinted>2023-02-01T11:29:00Z</cp:lastPrinted>
  <dcterms:created xsi:type="dcterms:W3CDTF">2025-09-01T08:59:00Z</dcterms:created>
  <dcterms:modified xsi:type="dcterms:W3CDTF">2025-09-01T08:59:00Z</dcterms:modified>
</cp:coreProperties>
</file>